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455D7" w14:textId="110C4564" w:rsidR="00A1075A" w:rsidRPr="00715B06" w:rsidRDefault="005F55F9" w:rsidP="00715B06">
      <w:pPr>
        <w:pStyle w:val="Standard"/>
        <w:jc w:val="center"/>
        <w:rPr>
          <w:sz w:val="22"/>
          <w:szCs w:val="22"/>
        </w:rPr>
      </w:pPr>
      <w:r w:rsidRPr="00715B06">
        <w:rPr>
          <w:rFonts w:ascii="Bookman Old Style" w:hAnsi="Bookman Old Style"/>
          <w:b/>
          <w:bCs/>
          <w:sz w:val="22"/>
          <w:szCs w:val="22"/>
        </w:rPr>
        <w:t>AYDINLATMA YÜKÜMLÜLÜĞÜNÜN YERİNE GETİRİLMESİ</w:t>
      </w:r>
      <w:r w:rsidR="00F4412E" w:rsidRPr="00715B06">
        <w:rPr>
          <w:rFonts w:ascii="Bookman Old Style" w:hAnsi="Bookman Old Style"/>
          <w:b/>
          <w:bCs/>
          <w:sz w:val="22"/>
          <w:szCs w:val="22"/>
        </w:rPr>
        <w:t xml:space="preserve"> POLİTİKASI</w:t>
      </w:r>
    </w:p>
    <w:p w14:paraId="216DFD23" w14:textId="77777777" w:rsidR="00A1075A" w:rsidRPr="00715B06" w:rsidRDefault="00A1075A">
      <w:pPr>
        <w:pStyle w:val="Standard"/>
        <w:jc w:val="both"/>
        <w:rPr>
          <w:rFonts w:ascii="Bookman Old Style" w:hAnsi="Bookman Old Style" w:cs="Century Gothic"/>
          <w:sz w:val="22"/>
          <w:szCs w:val="22"/>
        </w:rPr>
      </w:pPr>
    </w:p>
    <w:p w14:paraId="1394EE00" w14:textId="5ECAE974" w:rsidR="005F55F9" w:rsidRPr="00715B06" w:rsidRDefault="00F4412E" w:rsidP="005F55F9">
      <w:pPr>
        <w:pStyle w:val="Standard"/>
        <w:jc w:val="both"/>
        <w:rPr>
          <w:rFonts w:ascii="Bookman Old Style" w:hAnsi="Bookman Old Style" w:cs="Century Gothic"/>
          <w:b/>
          <w:bCs/>
          <w:sz w:val="22"/>
          <w:szCs w:val="22"/>
        </w:rPr>
      </w:pPr>
      <w:r w:rsidRPr="00715B06">
        <w:rPr>
          <w:rFonts w:ascii="Bookman Old Style" w:hAnsi="Bookman Old Style" w:cs="Century Gothic"/>
          <w:b/>
          <w:bCs/>
          <w:sz w:val="22"/>
          <w:szCs w:val="22"/>
        </w:rPr>
        <w:t xml:space="preserve">1- </w:t>
      </w:r>
      <w:r w:rsidR="005F55F9" w:rsidRPr="00715B06">
        <w:rPr>
          <w:rFonts w:ascii="Bookman Old Style" w:hAnsi="Bookman Old Style" w:cs="Century Gothic"/>
          <w:b/>
          <w:bCs/>
          <w:sz w:val="22"/>
          <w:szCs w:val="22"/>
        </w:rPr>
        <w:t xml:space="preserve">Aydınlatma Yükümlülüğünün Yerine Getirilmesi </w:t>
      </w:r>
      <w:r w:rsidRPr="00715B06">
        <w:rPr>
          <w:rFonts w:ascii="Bookman Old Style" w:hAnsi="Bookman Old Style" w:cs="Century Gothic"/>
          <w:b/>
          <w:bCs/>
          <w:sz w:val="22"/>
          <w:szCs w:val="22"/>
        </w:rPr>
        <w:t xml:space="preserve">Politikasının </w:t>
      </w:r>
    </w:p>
    <w:p w14:paraId="537B3803" w14:textId="77777777" w:rsidR="00A1075A" w:rsidRPr="00715B06" w:rsidRDefault="005F55F9" w:rsidP="005F55F9">
      <w:pPr>
        <w:pStyle w:val="Standard"/>
        <w:jc w:val="both"/>
        <w:rPr>
          <w:rFonts w:ascii="Bookman Old Style" w:hAnsi="Bookman Old Style" w:cs="Century Gothic"/>
          <w:b/>
          <w:bCs/>
          <w:sz w:val="22"/>
          <w:szCs w:val="22"/>
        </w:rPr>
      </w:pPr>
      <w:r w:rsidRPr="00715B06">
        <w:rPr>
          <w:rFonts w:ascii="Bookman Old Style" w:hAnsi="Bookman Old Style" w:cs="Century Gothic"/>
          <w:b/>
          <w:bCs/>
          <w:sz w:val="22"/>
          <w:szCs w:val="22"/>
        </w:rPr>
        <w:t xml:space="preserve"> </w:t>
      </w:r>
      <w:r w:rsidR="00F4412E" w:rsidRPr="00715B06">
        <w:rPr>
          <w:rFonts w:ascii="Bookman Old Style" w:hAnsi="Bookman Old Style" w:cs="Century Gothic"/>
          <w:b/>
          <w:bCs/>
          <w:sz w:val="22"/>
          <w:szCs w:val="22"/>
        </w:rPr>
        <w:t>Amacı</w:t>
      </w:r>
      <w:r w:rsidRPr="00715B06">
        <w:rPr>
          <w:rFonts w:ascii="Bookman Old Style" w:hAnsi="Bookman Old Style" w:cs="Century Gothic"/>
          <w:b/>
          <w:bCs/>
          <w:sz w:val="22"/>
          <w:szCs w:val="22"/>
        </w:rPr>
        <w:t xml:space="preserve"> </w:t>
      </w:r>
      <w:r w:rsidR="00F4412E" w:rsidRPr="00715B06">
        <w:rPr>
          <w:rFonts w:ascii="Bookman Old Style" w:hAnsi="Bookman Old Style" w:cs="Century Gothic"/>
          <w:b/>
          <w:bCs/>
          <w:sz w:val="22"/>
          <w:szCs w:val="22"/>
        </w:rPr>
        <w:t>ve Kapsamı</w:t>
      </w:r>
    </w:p>
    <w:p w14:paraId="3920A5E7" w14:textId="77777777" w:rsidR="00A1075A" w:rsidRPr="00715B06" w:rsidRDefault="00A1075A">
      <w:pPr>
        <w:pStyle w:val="Standard"/>
        <w:jc w:val="both"/>
        <w:rPr>
          <w:rFonts w:ascii="Bookman Old Style" w:hAnsi="Bookman Old Style" w:cs="Century Gothic"/>
          <w:sz w:val="22"/>
          <w:szCs w:val="22"/>
        </w:rPr>
      </w:pPr>
    </w:p>
    <w:p w14:paraId="34896E74" w14:textId="11052EC0" w:rsidR="005F55F9" w:rsidRPr="00715B06" w:rsidRDefault="00BB0C8D" w:rsidP="00D474EB">
      <w:pPr>
        <w:pStyle w:val="Standard"/>
        <w:jc w:val="both"/>
        <w:rPr>
          <w:rFonts w:ascii="Bookman Old Style" w:hAnsi="Bookman Old Style" w:cs="Century Gothic"/>
          <w:color w:val="000000"/>
          <w:sz w:val="22"/>
          <w:szCs w:val="22"/>
        </w:rPr>
      </w:pPr>
      <w:r>
        <w:rPr>
          <w:rFonts w:ascii="Bookman Old Style" w:hAnsi="Bookman Old Style"/>
          <w:b/>
          <w:bCs/>
          <w:i/>
          <w:iCs/>
          <w:color w:val="000000"/>
          <w:kern w:val="0"/>
          <w:sz w:val="20"/>
          <w:szCs w:val="20"/>
        </w:rPr>
        <w:t>KAYSERİ METAL CENTER SANAYİ VE TİCARET</w:t>
      </w:r>
      <w:r w:rsidRPr="00AA22BF">
        <w:rPr>
          <w:rFonts w:ascii="Bookman Old Style" w:hAnsi="Bookman Old Style"/>
          <w:b/>
          <w:bCs/>
          <w:i/>
          <w:iCs/>
          <w:color w:val="000000"/>
          <w:kern w:val="0"/>
          <w:sz w:val="20"/>
          <w:szCs w:val="20"/>
        </w:rPr>
        <w:t xml:space="preserve"> </w:t>
      </w:r>
      <w:r w:rsidR="00F4412E" w:rsidRPr="00715B06">
        <w:rPr>
          <w:rFonts w:ascii="Bookman Old Style" w:hAnsi="Bookman Old Style" w:cs="Century Gothic"/>
          <w:sz w:val="22"/>
          <w:szCs w:val="22"/>
        </w:rPr>
        <w:t>(“</w:t>
      </w:r>
      <w:r>
        <w:rPr>
          <w:rFonts w:ascii="Bookman Old Style" w:hAnsi="Bookman Old Style" w:cs="Century Gothic"/>
          <w:b/>
          <w:bCs/>
          <w:i/>
          <w:iCs/>
          <w:color w:val="000000"/>
          <w:sz w:val="22"/>
          <w:szCs w:val="22"/>
        </w:rPr>
        <w:t>KMC</w:t>
      </w:r>
      <w:r w:rsidR="00F4412E" w:rsidRPr="00715B06">
        <w:rPr>
          <w:rFonts w:ascii="Bookman Old Style" w:hAnsi="Bookman Old Style" w:cs="Century Gothic"/>
          <w:color w:val="000000"/>
          <w:sz w:val="22"/>
          <w:szCs w:val="22"/>
        </w:rPr>
        <w:t>”),</w:t>
      </w:r>
      <w:r w:rsidR="005F55F9" w:rsidRPr="00715B06">
        <w:rPr>
          <w:rFonts w:ascii="Bookman Old Style" w:hAnsi="Bookman Old Style" w:cs="Century Gothic"/>
          <w:color w:val="000000"/>
          <w:sz w:val="22"/>
          <w:szCs w:val="22"/>
        </w:rPr>
        <w:t xml:space="preserve"> verisini işlediği ilgili kişilere karşı aydınlatma yükümlülüğünü yerine getirirken</w:t>
      </w:r>
      <w:r w:rsidR="00F4412E" w:rsidRPr="00715B06">
        <w:rPr>
          <w:rFonts w:ascii="Bookman Old Style" w:hAnsi="Bookman Old Style" w:cs="Century Gothic"/>
          <w:color w:val="000000"/>
          <w:sz w:val="22"/>
          <w:szCs w:val="22"/>
        </w:rPr>
        <w:t xml:space="preserve">; </w:t>
      </w:r>
      <w:r w:rsidR="0048477C" w:rsidRPr="00715B06">
        <w:rPr>
          <w:rFonts w:ascii="Bookman Old Style" w:hAnsi="Bookman Old Style" w:cs="Century Gothic"/>
          <w:color w:val="000000"/>
          <w:sz w:val="22"/>
          <w:szCs w:val="22"/>
        </w:rPr>
        <w:t xml:space="preserve">veri sorumlusu olarak kimlik bilgilerini, verileri işleme amaçlarını, verileri aktaracağı kişiler ile aktarma amaçlarını, verileri toplama yöntemi ile hukuki sebebini ve ilgili kişinin sahip olduğu hakları ilgili kişiye açıklamaktadır. </w:t>
      </w:r>
      <w:r>
        <w:rPr>
          <w:rFonts w:ascii="Bookman Old Style" w:hAnsi="Bookman Old Style" w:cs="Century Gothic"/>
          <w:color w:val="000000"/>
          <w:sz w:val="22"/>
          <w:szCs w:val="22"/>
        </w:rPr>
        <w:t>KMC</w:t>
      </w:r>
      <w:r w:rsidR="0048477C" w:rsidRPr="00715B06">
        <w:rPr>
          <w:rFonts w:ascii="Bookman Old Style" w:hAnsi="Bookman Old Style" w:cs="Century Gothic"/>
          <w:color w:val="000000"/>
          <w:sz w:val="22"/>
          <w:szCs w:val="22"/>
        </w:rPr>
        <w:t>’</w:t>
      </w:r>
      <w:r>
        <w:rPr>
          <w:rFonts w:ascii="Bookman Old Style" w:hAnsi="Bookman Old Style" w:cs="Century Gothic"/>
          <w:color w:val="000000"/>
          <w:sz w:val="22"/>
          <w:szCs w:val="22"/>
        </w:rPr>
        <w:t>n</w:t>
      </w:r>
      <w:r w:rsidR="00733CBD">
        <w:rPr>
          <w:rFonts w:ascii="Bookman Old Style" w:hAnsi="Bookman Old Style" w:cs="Century Gothic"/>
          <w:color w:val="000000"/>
          <w:sz w:val="22"/>
          <w:szCs w:val="22"/>
        </w:rPr>
        <w:t>ı</w:t>
      </w:r>
      <w:r w:rsidR="0048477C" w:rsidRPr="00715B06">
        <w:rPr>
          <w:rFonts w:ascii="Bookman Old Style" w:hAnsi="Bookman Old Style" w:cs="Century Gothic"/>
          <w:color w:val="000000"/>
          <w:sz w:val="22"/>
          <w:szCs w:val="22"/>
        </w:rPr>
        <w:t>n işbu açıklaması ilgili kişiyi bilgilendirme ve</w:t>
      </w:r>
      <w:r w:rsidR="0049393B" w:rsidRPr="00715B06">
        <w:rPr>
          <w:rFonts w:ascii="Bookman Old Style" w:hAnsi="Bookman Old Style" w:cs="Century Gothic"/>
          <w:color w:val="000000"/>
          <w:sz w:val="22"/>
          <w:szCs w:val="22"/>
        </w:rPr>
        <w:t xml:space="preserve"> Kişisel Verilerin Korunması Kanunu (“KVKK veya Kanun”) uyarınca</w:t>
      </w:r>
      <w:r w:rsidR="0048477C" w:rsidRPr="00715B06">
        <w:rPr>
          <w:rFonts w:ascii="Bookman Old Style" w:hAnsi="Bookman Old Style" w:cs="Century Gothic"/>
          <w:color w:val="000000"/>
          <w:sz w:val="22"/>
          <w:szCs w:val="22"/>
        </w:rPr>
        <w:t xml:space="preserve"> yükümlülüğünü</w:t>
      </w:r>
      <w:r w:rsidR="0049393B" w:rsidRPr="00715B06">
        <w:rPr>
          <w:rFonts w:ascii="Bookman Old Style" w:hAnsi="Bookman Old Style" w:cs="Century Gothic"/>
          <w:color w:val="000000"/>
          <w:sz w:val="22"/>
          <w:szCs w:val="22"/>
        </w:rPr>
        <w:t xml:space="preserve"> yerine getirme</w:t>
      </w:r>
      <w:r w:rsidR="0048477C" w:rsidRPr="00715B06">
        <w:rPr>
          <w:rFonts w:ascii="Bookman Old Style" w:hAnsi="Bookman Old Style" w:cs="Century Gothic"/>
          <w:color w:val="000000"/>
          <w:sz w:val="22"/>
          <w:szCs w:val="22"/>
        </w:rPr>
        <w:t xml:space="preserve"> </w:t>
      </w:r>
      <w:r w:rsidR="00F4412E" w:rsidRPr="00715B06">
        <w:rPr>
          <w:rFonts w:ascii="Bookman Old Style" w:hAnsi="Bookman Old Style" w:cs="Century Gothic"/>
          <w:color w:val="000000"/>
          <w:sz w:val="22"/>
          <w:szCs w:val="22"/>
        </w:rPr>
        <w:t>gibi amaçlar taşımaktadır.</w:t>
      </w:r>
    </w:p>
    <w:p w14:paraId="175F2253" w14:textId="77777777" w:rsidR="0049393B" w:rsidRPr="00715B06" w:rsidRDefault="0049393B">
      <w:pPr>
        <w:pStyle w:val="Standard"/>
        <w:jc w:val="both"/>
        <w:rPr>
          <w:rFonts w:ascii="Bookman Old Style" w:hAnsi="Bookman Old Style" w:cs="Century Gothic"/>
          <w:color w:val="000000"/>
          <w:sz w:val="22"/>
          <w:szCs w:val="22"/>
        </w:rPr>
      </w:pPr>
    </w:p>
    <w:p w14:paraId="37B476E3" w14:textId="196C23E9" w:rsidR="00A1075A" w:rsidRPr="00715B06" w:rsidRDefault="00F4412E" w:rsidP="00D474EB">
      <w:pPr>
        <w:pStyle w:val="Standard"/>
        <w:jc w:val="both"/>
        <w:rPr>
          <w:rFonts w:ascii="Bookman Old Style" w:hAnsi="Bookman Old Style" w:cs="Century Gothic"/>
          <w:color w:val="000000"/>
          <w:sz w:val="22"/>
          <w:szCs w:val="22"/>
        </w:rPr>
      </w:pPr>
      <w:r w:rsidRPr="00715B06">
        <w:rPr>
          <w:rFonts w:ascii="Bookman Old Style" w:hAnsi="Bookman Old Style" w:cs="Century Gothic"/>
          <w:color w:val="000000"/>
          <w:sz w:val="22"/>
          <w:szCs w:val="22"/>
        </w:rPr>
        <w:t xml:space="preserve">Bu </w:t>
      </w:r>
      <w:r w:rsidR="005F55F9" w:rsidRPr="00715B06">
        <w:rPr>
          <w:rFonts w:ascii="Bookman Old Style" w:hAnsi="Bookman Old Style" w:cs="Century Gothic"/>
          <w:color w:val="000000"/>
          <w:sz w:val="22"/>
          <w:szCs w:val="22"/>
        </w:rPr>
        <w:t>bilgilendirme</w:t>
      </w:r>
      <w:r w:rsidRPr="00715B06">
        <w:rPr>
          <w:rFonts w:ascii="Bookman Old Style" w:hAnsi="Bookman Old Style" w:cs="Century Gothic"/>
          <w:color w:val="000000"/>
          <w:sz w:val="22"/>
          <w:szCs w:val="22"/>
        </w:rPr>
        <w:t xml:space="preserve"> faaliyeti, Kişisel Verilerin Korunması Kanunu (“KVKK veya Kanun”)</w:t>
      </w:r>
      <w:r w:rsidR="005F55F9" w:rsidRPr="00715B06">
        <w:rPr>
          <w:rFonts w:ascii="Bookman Old Style" w:hAnsi="Bookman Old Style" w:cs="Century Gothic"/>
          <w:color w:val="000000"/>
          <w:sz w:val="22"/>
          <w:szCs w:val="22"/>
        </w:rPr>
        <w:t>, Aydınlatma Yükümlülüğünün Yerine Getirilmesinde Uyulacak usul ve Esaslar Hakkında Tebliğ</w:t>
      </w:r>
      <w:r w:rsidR="00B94392" w:rsidRPr="00715B06">
        <w:rPr>
          <w:rFonts w:ascii="Bookman Old Style" w:hAnsi="Bookman Old Style" w:cs="Century Gothic"/>
          <w:color w:val="000000"/>
          <w:sz w:val="22"/>
          <w:szCs w:val="22"/>
        </w:rPr>
        <w:t xml:space="preserve"> (“Tebliğ”)</w:t>
      </w:r>
      <w:r w:rsidR="005F55F9" w:rsidRPr="00715B06">
        <w:rPr>
          <w:rFonts w:ascii="Bookman Old Style" w:hAnsi="Bookman Old Style" w:cs="Century Gothic"/>
          <w:color w:val="000000"/>
          <w:sz w:val="22"/>
          <w:szCs w:val="22"/>
        </w:rPr>
        <w:t>, Kişisel Verilerin Korunması Kurumu</w:t>
      </w:r>
      <w:r w:rsidR="0048477C" w:rsidRPr="00715B06">
        <w:rPr>
          <w:rFonts w:ascii="Bookman Old Style" w:hAnsi="Bookman Old Style" w:cs="Century Gothic"/>
          <w:color w:val="000000"/>
          <w:sz w:val="22"/>
          <w:szCs w:val="22"/>
        </w:rPr>
        <w:t>’</w:t>
      </w:r>
      <w:r w:rsidR="005F55F9" w:rsidRPr="00715B06">
        <w:rPr>
          <w:rFonts w:ascii="Bookman Old Style" w:hAnsi="Bookman Old Style" w:cs="Century Gothic"/>
          <w:color w:val="000000"/>
          <w:sz w:val="22"/>
          <w:szCs w:val="22"/>
        </w:rPr>
        <w:t>nun Yay</w:t>
      </w:r>
      <w:r w:rsidR="0048477C" w:rsidRPr="00715B06">
        <w:rPr>
          <w:rFonts w:ascii="Bookman Old Style" w:hAnsi="Bookman Old Style" w:cs="Century Gothic"/>
          <w:color w:val="000000"/>
          <w:sz w:val="22"/>
          <w:szCs w:val="22"/>
        </w:rPr>
        <w:t>ınladığı Rehberler</w:t>
      </w:r>
      <w:r w:rsidRPr="00715B06">
        <w:rPr>
          <w:rFonts w:ascii="Bookman Old Style" w:hAnsi="Bookman Old Style" w:cs="Century Gothic"/>
          <w:color w:val="000000"/>
          <w:sz w:val="22"/>
          <w:szCs w:val="22"/>
        </w:rPr>
        <w:t xml:space="preserve"> ve ilgili mevzuata uygun olarak sürdürülmektedir. Bu kapsamda </w:t>
      </w:r>
      <w:r w:rsidR="0049393B" w:rsidRPr="00715B06">
        <w:rPr>
          <w:rFonts w:ascii="Bookman Old Style" w:hAnsi="Bookman Old Style" w:cs="Century Gothic"/>
          <w:color w:val="000000"/>
          <w:sz w:val="22"/>
          <w:szCs w:val="22"/>
        </w:rPr>
        <w:t xml:space="preserve">ilgili kişi olarak verisi işlenen her bir gerçek kişi (ziyaretçi, müşteri, çalışan, çalışan adayı, tedarikçi yetkilisi, tedarikçi çalışanı, hissedar/ortak vs.) çeşitli yöntemler ile aydınlatılmaktadır. </w:t>
      </w:r>
      <w:r w:rsidR="00D12A69">
        <w:rPr>
          <w:rFonts w:ascii="Bookman Old Style" w:hAnsi="Bookman Old Style" w:cs="Century Gothic"/>
          <w:color w:val="000000"/>
          <w:sz w:val="22"/>
          <w:szCs w:val="22"/>
        </w:rPr>
        <w:t>KMC</w:t>
      </w:r>
      <w:r w:rsidRPr="00715B06">
        <w:rPr>
          <w:rFonts w:ascii="Bookman Old Style" w:hAnsi="Bookman Old Style" w:cs="Century Gothic"/>
          <w:color w:val="000000"/>
          <w:sz w:val="22"/>
          <w:szCs w:val="22"/>
        </w:rPr>
        <w:t xml:space="preserve"> tarafından</w:t>
      </w:r>
      <w:r w:rsidR="0049393B" w:rsidRPr="00715B06">
        <w:rPr>
          <w:rFonts w:ascii="Bookman Old Style" w:hAnsi="Bookman Old Style" w:cs="Century Gothic"/>
          <w:color w:val="000000"/>
          <w:sz w:val="22"/>
          <w:szCs w:val="22"/>
        </w:rPr>
        <w:t xml:space="preserve"> yapılan bu aydınlatma</w:t>
      </w:r>
      <w:r w:rsidRPr="00715B06">
        <w:rPr>
          <w:rFonts w:ascii="Bookman Old Style" w:hAnsi="Bookman Old Style" w:cs="Century Gothic"/>
          <w:color w:val="000000"/>
          <w:sz w:val="22"/>
          <w:szCs w:val="22"/>
        </w:rPr>
        <w:t xml:space="preserve"> Kanunu’nun 1</w:t>
      </w:r>
      <w:r w:rsidR="0049393B" w:rsidRPr="00715B06">
        <w:rPr>
          <w:rFonts w:ascii="Bookman Old Style" w:hAnsi="Bookman Old Style" w:cs="Century Gothic"/>
          <w:color w:val="000000"/>
          <w:sz w:val="22"/>
          <w:szCs w:val="22"/>
        </w:rPr>
        <w:t>0</w:t>
      </w:r>
      <w:r w:rsidRPr="00715B06">
        <w:rPr>
          <w:rFonts w:ascii="Bookman Old Style" w:hAnsi="Bookman Old Style" w:cs="Century Gothic"/>
          <w:color w:val="000000"/>
          <w:sz w:val="22"/>
          <w:szCs w:val="22"/>
        </w:rPr>
        <w:t>. maddesine uygun olarak</w:t>
      </w:r>
      <w:r w:rsidR="0049393B" w:rsidRPr="00715B06">
        <w:rPr>
          <w:rFonts w:ascii="Bookman Old Style" w:hAnsi="Bookman Old Style" w:cs="Century Gothic"/>
          <w:color w:val="000000"/>
          <w:sz w:val="22"/>
          <w:szCs w:val="22"/>
        </w:rPr>
        <w:t xml:space="preserve"> yerine getirilmektedir</w:t>
      </w:r>
      <w:r w:rsidRPr="00715B06">
        <w:rPr>
          <w:rFonts w:ascii="Bookman Old Style" w:hAnsi="Bookman Old Style" w:cs="Century Gothic"/>
          <w:color w:val="000000"/>
          <w:sz w:val="22"/>
          <w:szCs w:val="22"/>
        </w:rPr>
        <w:t>.</w:t>
      </w:r>
    </w:p>
    <w:p w14:paraId="2141A6CD" w14:textId="77777777" w:rsidR="007B4337" w:rsidRPr="00715B06" w:rsidRDefault="007B4337" w:rsidP="00D474EB">
      <w:pPr>
        <w:pStyle w:val="Standard"/>
        <w:jc w:val="both"/>
        <w:rPr>
          <w:rFonts w:ascii="Bookman Old Style" w:hAnsi="Bookman Old Style" w:cs="Century Gothic"/>
          <w:color w:val="000000"/>
          <w:sz w:val="22"/>
          <w:szCs w:val="22"/>
        </w:rPr>
      </w:pPr>
    </w:p>
    <w:p w14:paraId="6EA8D31F" w14:textId="09BFBC98" w:rsidR="007B4337" w:rsidRPr="00715B06" w:rsidRDefault="007B4337" w:rsidP="00D474EB">
      <w:pPr>
        <w:pStyle w:val="Standard"/>
        <w:jc w:val="both"/>
        <w:rPr>
          <w:rFonts w:ascii="Bookman Old Style" w:hAnsi="Bookman Old Style"/>
          <w:sz w:val="22"/>
          <w:szCs w:val="22"/>
        </w:rPr>
      </w:pPr>
      <w:r w:rsidRPr="00715B06">
        <w:rPr>
          <w:rFonts w:ascii="Bookman Old Style" w:hAnsi="Bookman Old Style"/>
          <w:sz w:val="22"/>
          <w:szCs w:val="22"/>
        </w:rPr>
        <w:t xml:space="preserve">Aydınlatma yükümlülüğü, ilgili kişinin talebine bağlı bir yükümlülük değildir. İlgili kişinin açık rızasının ya da diğer kişisel veri işleme şartlarının bulunması durumunda </w:t>
      </w:r>
      <w:r w:rsidR="00195CF7">
        <w:rPr>
          <w:rFonts w:ascii="Bookman Old Style" w:hAnsi="Bookman Old Style" w:cs="Century Gothic"/>
          <w:color w:val="000000"/>
          <w:sz w:val="22"/>
          <w:szCs w:val="22"/>
        </w:rPr>
        <w:t>KMC</w:t>
      </w:r>
      <w:r w:rsidRPr="00715B06">
        <w:rPr>
          <w:rFonts w:ascii="Bookman Old Style" w:hAnsi="Bookman Old Style"/>
          <w:sz w:val="22"/>
          <w:szCs w:val="22"/>
        </w:rPr>
        <w:t>, aydınlatma yükümlülüğünü yerine getirmektedir. Çünkü aydınlatma yükümlülüğü gerek açık rıza gerekse de Kanundaki diğer kişisel veri işleme şartlarından bağımsız olarak yerine getirilmesi gereken bir yükümlülüktür.</w:t>
      </w:r>
    </w:p>
    <w:p w14:paraId="5DB8457F" w14:textId="77777777" w:rsidR="00A1075A" w:rsidRPr="00715B06" w:rsidRDefault="00A1075A">
      <w:pPr>
        <w:pStyle w:val="Standard"/>
        <w:jc w:val="both"/>
        <w:rPr>
          <w:rFonts w:ascii="Bookman Old Style" w:hAnsi="Bookman Old Style" w:cs="Century Gothic"/>
          <w:sz w:val="22"/>
          <w:szCs w:val="22"/>
        </w:rPr>
      </w:pPr>
    </w:p>
    <w:p w14:paraId="014EEF15" w14:textId="067A28B2" w:rsidR="00A1075A" w:rsidRPr="00715B06" w:rsidRDefault="00F4412E">
      <w:pPr>
        <w:pStyle w:val="Standard"/>
        <w:jc w:val="both"/>
        <w:rPr>
          <w:sz w:val="22"/>
          <w:szCs w:val="22"/>
        </w:rPr>
      </w:pPr>
      <w:r w:rsidRPr="00715B06">
        <w:rPr>
          <w:rFonts w:ascii="Bookman Old Style" w:hAnsi="Bookman Old Style" w:cs="Century Gothic"/>
          <w:b/>
          <w:bCs/>
          <w:sz w:val="22"/>
          <w:szCs w:val="22"/>
        </w:rPr>
        <w:t xml:space="preserve">2- </w:t>
      </w:r>
      <w:r w:rsidR="00195CF7">
        <w:rPr>
          <w:rFonts w:ascii="Bookman Old Style" w:hAnsi="Bookman Old Style" w:cs="Century Gothic"/>
          <w:b/>
          <w:color w:val="000000"/>
          <w:sz w:val="22"/>
          <w:szCs w:val="22"/>
        </w:rPr>
        <w:t>KMC</w:t>
      </w:r>
      <w:r w:rsidR="00501567" w:rsidRPr="00733CBD">
        <w:rPr>
          <w:rFonts w:ascii="Bookman Old Style" w:hAnsi="Bookman Old Style" w:cs="Century Gothic"/>
          <w:b/>
          <w:bCs/>
          <w:color w:val="000000"/>
          <w:sz w:val="22"/>
          <w:szCs w:val="22"/>
        </w:rPr>
        <w:t>’</w:t>
      </w:r>
      <w:r w:rsidR="003922D4">
        <w:rPr>
          <w:rFonts w:ascii="Bookman Old Style" w:hAnsi="Bookman Old Style" w:cs="Century Gothic"/>
          <w:b/>
          <w:bCs/>
          <w:color w:val="000000"/>
          <w:sz w:val="22"/>
          <w:szCs w:val="22"/>
        </w:rPr>
        <w:t>n</w:t>
      </w:r>
      <w:r w:rsidR="00733CBD">
        <w:rPr>
          <w:rFonts w:ascii="Bookman Old Style" w:hAnsi="Bookman Old Style" w:cs="Century Gothic"/>
          <w:b/>
          <w:bCs/>
          <w:color w:val="000000"/>
          <w:sz w:val="22"/>
          <w:szCs w:val="22"/>
        </w:rPr>
        <w:t>ı</w:t>
      </w:r>
      <w:r w:rsidR="00501567" w:rsidRPr="00715B06">
        <w:rPr>
          <w:rFonts w:ascii="Bookman Old Style" w:hAnsi="Bookman Old Style" w:cs="Century Gothic"/>
          <w:b/>
          <w:bCs/>
          <w:color w:val="000000"/>
          <w:sz w:val="22"/>
          <w:szCs w:val="22"/>
        </w:rPr>
        <w:t>n</w:t>
      </w:r>
      <w:r w:rsidRPr="00715B06">
        <w:rPr>
          <w:rFonts w:ascii="Bookman Old Style" w:hAnsi="Bookman Old Style" w:cs="Century Gothic"/>
          <w:b/>
          <w:bCs/>
          <w:sz w:val="22"/>
          <w:szCs w:val="22"/>
        </w:rPr>
        <w:t xml:space="preserve"> Hangi </w:t>
      </w:r>
      <w:r w:rsidR="00501567" w:rsidRPr="00715B06">
        <w:rPr>
          <w:rFonts w:ascii="Bookman Old Style" w:hAnsi="Bookman Old Style" w:cs="Century Gothic"/>
          <w:b/>
          <w:bCs/>
          <w:sz w:val="22"/>
          <w:szCs w:val="22"/>
        </w:rPr>
        <w:t>Kişilere Karşı Aydınlatma Yükümlülüğünü Yerine Getirdiğinin Belirlenmesi</w:t>
      </w:r>
    </w:p>
    <w:p w14:paraId="2D147D95" w14:textId="76527E29" w:rsidR="00EC51FE" w:rsidRPr="00715B06" w:rsidRDefault="00BB0C8D" w:rsidP="00D474EB">
      <w:pPr>
        <w:pStyle w:val="Standard"/>
        <w:spacing w:before="280" w:after="280"/>
        <w:jc w:val="both"/>
        <w:rPr>
          <w:rFonts w:ascii="Bookman Old Style" w:hAnsi="Bookman Old Style" w:cs="Century Gothic"/>
          <w:color w:val="000000"/>
          <w:sz w:val="22"/>
          <w:szCs w:val="22"/>
        </w:rPr>
      </w:pPr>
      <w:r>
        <w:rPr>
          <w:rFonts w:ascii="Bookman Old Style" w:hAnsi="Bookman Old Style" w:cs="Century Gothic"/>
          <w:color w:val="000000"/>
          <w:sz w:val="22"/>
          <w:szCs w:val="22"/>
        </w:rPr>
        <w:t>KMC</w:t>
      </w:r>
      <w:r w:rsidR="00733CBD">
        <w:rPr>
          <w:rFonts w:ascii="Bookman Old Style" w:hAnsi="Bookman Old Style" w:cs="Century Gothic"/>
          <w:b/>
          <w:bCs/>
          <w:sz w:val="22"/>
          <w:szCs w:val="22"/>
        </w:rPr>
        <w:t xml:space="preserve"> </w:t>
      </w:r>
      <w:r w:rsidR="00F4412E" w:rsidRPr="00715B06">
        <w:rPr>
          <w:rFonts w:ascii="Bookman Old Style" w:hAnsi="Bookman Old Style" w:cs="Century Gothic"/>
          <w:color w:val="000000"/>
          <w:sz w:val="22"/>
          <w:szCs w:val="22"/>
        </w:rPr>
        <w:t xml:space="preserve">tarafından </w:t>
      </w:r>
      <w:r w:rsidR="0047305C" w:rsidRPr="00715B06">
        <w:rPr>
          <w:rFonts w:ascii="Bookman Old Style" w:hAnsi="Bookman Old Style" w:cs="Century Gothic"/>
          <w:color w:val="000000"/>
          <w:sz w:val="22"/>
          <w:szCs w:val="22"/>
        </w:rPr>
        <w:t>iş süreçlerinde gerçekleşen</w:t>
      </w:r>
      <w:r w:rsidR="00F4412E" w:rsidRPr="00715B06">
        <w:rPr>
          <w:rFonts w:ascii="Bookman Old Style" w:hAnsi="Bookman Old Style" w:cs="Century Gothic"/>
          <w:color w:val="000000"/>
          <w:sz w:val="22"/>
          <w:szCs w:val="22"/>
        </w:rPr>
        <w:t xml:space="preserve"> faaliyetlerinin </w:t>
      </w:r>
      <w:r w:rsidR="00501567" w:rsidRPr="00715B06">
        <w:rPr>
          <w:rFonts w:ascii="Bookman Old Style" w:hAnsi="Bookman Old Style" w:cs="Century Gothic"/>
          <w:color w:val="000000"/>
          <w:sz w:val="22"/>
          <w:szCs w:val="22"/>
        </w:rPr>
        <w:t>yürütülmesi</w:t>
      </w:r>
      <w:r w:rsidR="0047305C" w:rsidRPr="00715B06">
        <w:rPr>
          <w:rFonts w:ascii="Bookman Old Style" w:hAnsi="Bookman Old Style" w:cs="Century Gothic"/>
          <w:color w:val="000000"/>
          <w:sz w:val="22"/>
          <w:szCs w:val="22"/>
        </w:rPr>
        <w:t>,</w:t>
      </w:r>
      <w:r w:rsidR="00501567" w:rsidRPr="00715B06">
        <w:rPr>
          <w:rFonts w:ascii="Bookman Old Style" w:hAnsi="Bookman Old Style" w:cs="Century Gothic"/>
          <w:color w:val="000000"/>
          <w:sz w:val="22"/>
          <w:szCs w:val="22"/>
        </w:rPr>
        <w:t xml:space="preserve"> </w:t>
      </w:r>
      <w:r w:rsidR="00F4412E" w:rsidRPr="00715B06">
        <w:rPr>
          <w:rFonts w:ascii="Bookman Old Style" w:hAnsi="Bookman Old Style" w:cs="Century Gothic"/>
          <w:color w:val="000000"/>
          <w:sz w:val="22"/>
          <w:szCs w:val="22"/>
        </w:rPr>
        <w:t xml:space="preserve">denetlenmesi ve </w:t>
      </w:r>
      <w:r w:rsidR="0047305C" w:rsidRPr="00715B06">
        <w:rPr>
          <w:rFonts w:ascii="Bookman Old Style" w:hAnsi="Bookman Old Style" w:cs="Century Gothic"/>
          <w:color w:val="000000"/>
          <w:sz w:val="22"/>
          <w:szCs w:val="22"/>
        </w:rPr>
        <w:t xml:space="preserve">Kişisel Verilerin Korunması ve İşlenmesi </w:t>
      </w:r>
      <w:r w:rsidR="00F4412E" w:rsidRPr="00715B06">
        <w:rPr>
          <w:rFonts w:ascii="Bookman Old Style" w:hAnsi="Bookman Old Style" w:cs="Century Gothic"/>
          <w:color w:val="000000"/>
          <w:sz w:val="22"/>
          <w:szCs w:val="22"/>
        </w:rPr>
        <w:t>Politika</w:t>
      </w:r>
      <w:r w:rsidR="0047305C" w:rsidRPr="00715B06">
        <w:rPr>
          <w:rFonts w:ascii="Bookman Old Style" w:hAnsi="Bookman Old Style" w:cs="Century Gothic"/>
          <w:color w:val="000000"/>
          <w:sz w:val="22"/>
          <w:szCs w:val="22"/>
        </w:rPr>
        <w:t>sın</w:t>
      </w:r>
      <w:r w:rsidR="00F4412E" w:rsidRPr="00715B06">
        <w:rPr>
          <w:rFonts w:ascii="Bookman Old Style" w:hAnsi="Bookman Old Style" w:cs="Century Gothic"/>
          <w:color w:val="000000"/>
          <w:sz w:val="22"/>
          <w:szCs w:val="22"/>
        </w:rPr>
        <w:t xml:space="preserve">da belirtilen diğer amaçlarla, </w:t>
      </w:r>
      <w:r>
        <w:rPr>
          <w:rFonts w:ascii="Bookman Old Style" w:hAnsi="Bookman Old Style" w:cs="Century Gothic"/>
          <w:color w:val="000000"/>
          <w:sz w:val="22"/>
          <w:szCs w:val="22"/>
        </w:rPr>
        <w:t>KMC</w:t>
      </w:r>
      <w:r w:rsidR="00F4412E" w:rsidRPr="00715B06">
        <w:rPr>
          <w:rFonts w:ascii="Bookman Old Style" w:hAnsi="Bookman Old Style" w:cs="Century Gothic"/>
          <w:b/>
          <w:bCs/>
          <w:sz w:val="22"/>
          <w:szCs w:val="22"/>
        </w:rPr>
        <w:t xml:space="preserve"> </w:t>
      </w:r>
      <w:r w:rsidR="0047305C" w:rsidRPr="00715B06">
        <w:rPr>
          <w:rFonts w:ascii="Bookman Old Style" w:hAnsi="Bookman Old Style" w:cs="Century Gothic"/>
          <w:color w:val="000000"/>
          <w:sz w:val="22"/>
          <w:szCs w:val="22"/>
        </w:rPr>
        <w:t>işletmelerinde</w:t>
      </w:r>
      <w:r w:rsidR="00F4412E" w:rsidRPr="00715B06">
        <w:rPr>
          <w:rFonts w:ascii="Bookman Old Style" w:hAnsi="Bookman Old Style" w:cs="Century Gothic"/>
          <w:color w:val="000000"/>
          <w:sz w:val="22"/>
          <w:szCs w:val="22"/>
        </w:rPr>
        <w:t xml:space="preserve"> </w:t>
      </w:r>
      <w:r w:rsidR="0047305C" w:rsidRPr="00715B06">
        <w:rPr>
          <w:rFonts w:ascii="Bookman Old Style" w:hAnsi="Bookman Old Style" w:cs="Century Gothic"/>
          <w:color w:val="000000"/>
          <w:sz w:val="22"/>
          <w:szCs w:val="22"/>
        </w:rPr>
        <w:t xml:space="preserve">ziyaretçilerin, müşterilerin, </w:t>
      </w:r>
      <w:r w:rsidR="00F4412E" w:rsidRPr="00715B06">
        <w:rPr>
          <w:rFonts w:ascii="Bookman Old Style" w:hAnsi="Bookman Old Style" w:cs="Century Gothic"/>
          <w:color w:val="000000"/>
          <w:sz w:val="22"/>
          <w:szCs w:val="22"/>
        </w:rPr>
        <w:t>çalışanların</w:t>
      </w:r>
      <w:r w:rsidR="0047305C" w:rsidRPr="00715B06">
        <w:rPr>
          <w:rFonts w:ascii="Bookman Old Style" w:hAnsi="Bookman Old Style" w:cs="Century Gothic"/>
          <w:color w:val="000000"/>
          <w:sz w:val="22"/>
          <w:szCs w:val="22"/>
        </w:rPr>
        <w:t>, çalışan adaylarının, stajyerlerin ve tedarikçilerin</w:t>
      </w:r>
      <w:r w:rsidR="00F4412E" w:rsidRPr="00715B06">
        <w:rPr>
          <w:rFonts w:ascii="Bookman Old Style" w:hAnsi="Bookman Old Style" w:cs="Century Gothic"/>
          <w:color w:val="000000"/>
          <w:sz w:val="22"/>
          <w:szCs w:val="22"/>
        </w:rPr>
        <w:t xml:space="preserve"> kişisel veri</w:t>
      </w:r>
      <w:r w:rsidR="0047305C" w:rsidRPr="00715B06">
        <w:rPr>
          <w:rFonts w:ascii="Bookman Old Style" w:hAnsi="Bookman Old Style" w:cs="Century Gothic"/>
          <w:color w:val="000000"/>
          <w:sz w:val="22"/>
          <w:szCs w:val="22"/>
        </w:rPr>
        <w:t>leri işlenmektedir</w:t>
      </w:r>
      <w:r w:rsidR="00F4412E" w:rsidRPr="00715B06">
        <w:rPr>
          <w:rFonts w:ascii="Bookman Old Style" w:hAnsi="Bookman Old Style" w:cs="Century Gothic"/>
          <w:color w:val="000000"/>
          <w:sz w:val="22"/>
          <w:szCs w:val="22"/>
        </w:rPr>
        <w:t>.</w:t>
      </w:r>
      <w:r w:rsidR="0047305C" w:rsidRPr="00715B06">
        <w:rPr>
          <w:rFonts w:ascii="Bookman Old Style" w:hAnsi="Bookman Old Style" w:cs="Century Gothic"/>
          <w:color w:val="000000"/>
          <w:sz w:val="22"/>
          <w:szCs w:val="22"/>
        </w:rPr>
        <w:t xml:space="preserve"> </w:t>
      </w:r>
      <w:r>
        <w:rPr>
          <w:rFonts w:ascii="Bookman Old Style" w:hAnsi="Bookman Old Style" w:cs="Century Gothic"/>
          <w:color w:val="000000"/>
          <w:sz w:val="22"/>
          <w:szCs w:val="22"/>
        </w:rPr>
        <w:t>KMC</w:t>
      </w:r>
      <w:r w:rsidR="00B94392" w:rsidRPr="00715B06">
        <w:rPr>
          <w:rFonts w:ascii="Bookman Old Style" w:hAnsi="Bookman Old Style" w:cs="Century Gothic"/>
          <w:color w:val="000000"/>
          <w:sz w:val="22"/>
          <w:szCs w:val="22"/>
        </w:rPr>
        <w:t>, kişisel verisini işlediği her gerçek kişiyi veri işleme şartına bakılmaksızın aydınlatmaktadır.</w:t>
      </w:r>
    </w:p>
    <w:p w14:paraId="6AD74FD3" w14:textId="7D7D5998" w:rsidR="00B94392" w:rsidRPr="00715B06" w:rsidRDefault="00F4412E">
      <w:pPr>
        <w:pStyle w:val="Standard"/>
        <w:jc w:val="both"/>
        <w:rPr>
          <w:sz w:val="22"/>
          <w:szCs w:val="22"/>
        </w:rPr>
      </w:pPr>
      <w:r w:rsidRPr="00715B06">
        <w:rPr>
          <w:rFonts w:ascii="Bookman Old Style" w:hAnsi="Bookman Old Style" w:cs="Century Gothic"/>
          <w:b/>
          <w:bCs/>
          <w:sz w:val="22"/>
          <w:szCs w:val="22"/>
        </w:rPr>
        <w:t xml:space="preserve">3- </w:t>
      </w:r>
      <w:r w:rsidR="00501567" w:rsidRPr="00715B06">
        <w:rPr>
          <w:rFonts w:ascii="Bookman Old Style" w:hAnsi="Bookman Old Style" w:cs="Century Gothic"/>
          <w:b/>
          <w:bCs/>
          <w:sz w:val="22"/>
          <w:szCs w:val="22"/>
        </w:rPr>
        <w:t>Aydınlatma Yükümlülüğünü Yerine Getirme Yöntemi</w:t>
      </w:r>
    </w:p>
    <w:p w14:paraId="611E3096" w14:textId="1DB0AD89" w:rsidR="00B94392" w:rsidRPr="00715B06" w:rsidRDefault="00B94392" w:rsidP="00D474EB">
      <w:pPr>
        <w:pStyle w:val="Standard"/>
        <w:jc w:val="both"/>
        <w:rPr>
          <w:rFonts w:ascii="Bookman Old Style" w:hAnsi="Bookman Old Style" w:cs="Century Gothic"/>
          <w:color w:val="000000"/>
          <w:sz w:val="22"/>
          <w:szCs w:val="22"/>
        </w:rPr>
      </w:pPr>
      <w:r w:rsidRPr="00715B06">
        <w:rPr>
          <w:rFonts w:ascii="Bookman Old Style" w:hAnsi="Bookman Old Style" w:cs="Century Gothic"/>
          <w:color w:val="000000"/>
          <w:sz w:val="22"/>
          <w:szCs w:val="22"/>
        </w:rPr>
        <w:t>Tebliğin 5. maddesine göre veri sorumlusu ya da yetkilendirdiği kişi tarafından aydınlatma yükümlülüğü; sözlü, yazılı, ses kaydı, çağrı merkezi gibi fiziksel veya elektronik ortamlar kullanılmak suretiyle yerine getirilebilmektedir.</w:t>
      </w:r>
      <w:r w:rsidR="00BB0C8D">
        <w:rPr>
          <w:rFonts w:ascii="Bookman Old Style" w:hAnsi="Bookman Old Style" w:cs="Century Gothic"/>
          <w:color w:val="000000"/>
          <w:sz w:val="22"/>
          <w:szCs w:val="22"/>
        </w:rPr>
        <w:t xml:space="preserve"> KMC</w:t>
      </w:r>
      <w:r w:rsidR="001A059A" w:rsidRPr="00715B06">
        <w:rPr>
          <w:rFonts w:ascii="Bookman Old Style" w:hAnsi="Bookman Old Style" w:cs="Century Gothic"/>
          <w:color w:val="000000"/>
          <w:sz w:val="22"/>
          <w:szCs w:val="22"/>
        </w:rPr>
        <w:t xml:space="preserve">, aydınlatma yükümlülüğünü, veri sorumlusu olarak bizzat kendi personeli aracılığı ile yerine getirmektedir. Ayrıca </w:t>
      </w:r>
      <w:r w:rsidR="00BB0C8D">
        <w:rPr>
          <w:rFonts w:ascii="Bookman Old Style" w:hAnsi="Bookman Old Style" w:cs="Century Gothic"/>
          <w:color w:val="000000"/>
          <w:sz w:val="22"/>
          <w:szCs w:val="22"/>
        </w:rPr>
        <w:t>KMC’y</w:t>
      </w:r>
      <w:r w:rsidR="003922D4">
        <w:rPr>
          <w:rFonts w:ascii="Bookman Old Style" w:hAnsi="Bookman Old Style" w:cs="Century Gothic"/>
          <w:color w:val="000000"/>
          <w:sz w:val="22"/>
          <w:szCs w:val="22"/>
        </w:rPr>
        <w:t>e</w:t>
      </w:r>
      <w:r w:rsidRPr="00715B06">
        <w:rPr>
          <w:rFonts w:ascii="Bookman Old Style" w:hAnsi="Bookman Old Style" w:cs="Century Gothic"/>
          <w:color w:val="000000"/>
          <w:sz w:val="22"/>
          <w:szCs w:val="22"/>
        </w:rPr>
        <w:t xml:space="preserve"> </w:t>
      </w:r>
      <w:r w:rsidR="001A059A" w:rsidRPr="00715B06">
        <w:rPr>
          <w:rFonts w:ascii="Bookman Old Style" w:hAnsi="Bookman Old Style" w:cs="Century Gothic"/>
          <w:color w:val="000000"/>
          <w:sz w:val="22"/>
          <w:szCs w:val="22"/>
        </w:rPr>
        <w:t>tebliğ metninde sayılmış</w:t>
      </w:r>
      <w:r w:rsidRPr="00715B06">
        <w:rPr>
          <w:rFonts w:ascii="Bookman Old Style" w:hAnsi="Bookman Old Style" w:cs="Century Gothic"/>
          <w:color w:val="000000"/>
          <w:sz w:val="22"/>
          <w:szCs w:val="22"/>
        </w:rPr>
        <w:t xml:space="preserve"> yöntemlerden hangisini kullanacağına kendisi karar vermektedir.</w:t>
      </w:r>
    </w:p>
    <w:p w14:paraId="5E3AC9B9" w14:textId="77777777" w:rsidR="001A059A" w:rsidRPr="00715B06" w:rsidRDefault="001A059A" w:rsidP="001A059A">
      <w:pPr>
        <w:pStyle w:val="Standard"/>
        <w:ind w:firstLine="708"/>
        <w:jc w:val="both"/>
        <w:rPr>
          <w:rFonts w:ascii="Bookman Old Style" w:hAnsi="Bookman Old Style" w:cs="Century Gothic"/>
          <w:color w:val="000000"/>
          <w:sz w:val="22"/>
          <w:szCs w:val="22"/>
        </w:rPr>
      </w:pPr>
    </w:p>
    <w:p w14:paraId="1059B93E" w14:textId="7928EC08" w:rsidR="001A059A" w:rsidRPr="00715B06" w:rsidRDefault="001A059A" w:rsidP="00D474EB">
      <w:pPr>
        <w:pStyle w:val="Standard"/>
        <w:jc w:val="both"/>
        <w:rPr>
          <w:rFonts w:ascii="Bookman Old Style" w:hAnsi="Bookman Old Style" w:cs="Century Gothic"/>
          <w:color w:val="000000"/>
          <w:sz w:val="22"/>
          <w:szCs w:val="22"/>
        </w:rPr>
      </w:pPr>
      <w:r w:rsidRPr="00715B06">
        <w:rPr>
          <w:rFonts w:ascii="Bookman Old Style" w:hAnsi="Bookman Old Style" w:cs="Century Gothic"/>
          <w:color w:val="000000"/>
          <w:sz w:val="22"/>
          <w:szCs w:val="22"/>
        </w:rPr>
        <w:t xml:space="preserve">Aydınlatma yükümlülüğünün yerine getirildiğinin ispatı veri sorumlusu olarak </w:t>
      </w:r>
      <w:r w:rsidR="00D12A69">
        <w:rPr>
          <w:rFonts w:ascii="Bookman Old Style" w:hAnsi="Bookman Old Style" w:cs="Century Gothic"/>
          <w:color w:val="000000"/>
          <w:sz w:val="22"/>
          <w:szCs w:val="22"/>
        </w:rPr>
        <w:t>KMC</w:t>
      </w:r>
      <w:r w:rsidRPr="00715B06">
        <w:rPr>
          <w:rFonts w:ascii="Bookman Old Style" w:hAnsi="Bookman Old Style" w:cs="Century Gothic"/>
          <w:color w:val="000000"/>
          <w:sz w:val="22"/>
          <w:szCs w:val="22"/>
        </w:rPr>
        <w:t>’</w:t>
      </w:r>
      <w:r w:rsidR="00D12A69">
        <w:rPr>
          <w:rFonts w:ascii="Bookman Old Style" w:hAnsi="Bookman Old Style" w:cs="Century Gothic"/>
          <w:color w:val="000000"/>
          <w:sz w:val="22"/>
          <w:szCs w:val="22"/>
        </w:rPr>
        <w:t>n</w:t>
      </w:r>
      <w:r w:rsidR="00733CBD">
        <w:rPr>
          <w:rFonts w:ascii="Bookman Old Style" w:hAnsi="Bookman Old Style" w:cs="Century Gothic"/>
          <w:color w:val="000000"/>
          <w:sz w:val="22"/>
          <w:szCs w:val="22"/>
        </w:rPr>
        <w:t>ı</w:t>
      </w:r>
      <w:r w:rsidRPr="00715B06">
        <w:rPr>
          <w:rFonts w:ascii="Bookman Old Style" w:hAnsi="Bookman Old Style" w:cs="Century Gothic"/>
          <w:color w:val="000000"/>
          <w:sz w:val="22"/>
          <w:szCs w:val="22"/>
        </w:rPr>
        <w:t xml:space="preserve">n üzerinde olduğu için </w:t>
      </w:r>
      <w:r w:rsidR="00BB0C8D">
        <w:rPr>
          <w:rFonts w:ascii="Bookman Old Style" w:hAnsi="Bookman Old Style" w:cs="Century Gothic"/>
          <w:color w:val="000000"/>
          <w:sz w:val="22"/>
          <w:szCs w:val="22"/>
        </w:rPr>
        <w:t xml:space="preserve">KMC’ye </w:t>
      </w:r>
      <w:r w:rsidRPr="00715B06">
        <w:rPr>
          <w:rFonts w:ascii="Bookman Old Style" w:hAnsi="Bookman Old Style" w:cs="Century Gothic"/>
          <w:color w:val="000000"/>
          <w:sz w:val="22"/>
          <w:szCs w:val="22"/>
        </w:rPr>
        <w:t xml:space="preserve">yukarıda sayılan yöntemlerden yazılı aydınlatma yöntemini (web sayfasında yer alan metin, bina girişinde duvara asılı levha, bir kameranın altında duvara monte edilmiş bilgi panosu, fiziki olarak </w:t>
      </w:r>
      <w:r w:rsidRPr="00715B06">
        <w:rPr>
          <w:rFonts w:ascii="Bookman Old Style" w:hAnsi="Bookman Old Style" w:cs="Century Gothic"/>
          <w:color w:val="000000"/>
          <w:sz w:val="22"/>
          <w:szCs w:val="22"/>
        </w:rPr>
        <w:lastRenderedPageBreak/>
        <w:t>hazırlanmış yazılı met</w:t>
      </w:r>
      <w:r w:rsidR="005065CE" w:rsidRPr="00715B06">
        <w:rPr>
          <w:rFonts w:ascii="Bookman Old Style" w:hAnsi="Bookman Old Style" w:cs="Century Gothic"/>
          <w:color w:val="000000"/>
          <w:sz w:val="22"/>
          <w:szCs w:val="22"/>
        </w:rPr>
        <w:t>in</w:t>
      </w:r>
      <w:r w:rsidRPr="00715B06">
        <w:rPr>
          <w:rFonts w:ascii="Bookman Old Style" w:hAnsi="Bookman Old Style" w:cs="Century Gothic"/>
          <w:color w:val="000000"/>
          <w:sz w:val="22"/>
          <w:szCs w:val="22"/>
        </w:rPr>
        <w:t>) kullanmak suretiyle aydınlatma yükümlülüğünün yerine getirmektedir.</w:t>
      </w:r>
    </w:p>
    <w:p w14:paraId="5D243CBD" w14:textId="77777777" w:rsidR="005065CE" w:rsidRPr="00715B06" w:rsidRDefault="005065CE" w:rsidP="001A059A">
      <w:pPr>
        <w:pStyle w:val="Standard"/>
        <w:ind w:firstLine="708"/>
        <w:jc w:val="both"/>
        <w:rPr>
          <w:rFonts w:ascii="Bookman Old Style" w:hAnsi="Bookman Old Style" w:cs="Century Gothic"/>
          <w:color w:val="000000"/>
          <w:sz w:val="22"/>
          <w:szCs w:val="22"/>
        </w:rPr>
      </w:pPr>
    </w:p>
    <w:p w14:paraId="523B07DC" w14:textId="294ED52A" w:rsidR="005065CE" w:rsidRPr="00715B06" w:rsidRDefault="005065CE" w:rsidP="00D474EB">
      <w:pPr>
        <w:pStyle w:val="Standard"/>
        <w:jc w:val="both"/>
        <w:rPr>
          <w:rFonts w:ascii="Bookman Old Style" w:hAnsi="Bookman Old Style" w:cs="Century Gothic"/>
          <w:color w:val="000000"/>
          <w:sz w:val="22"/>
          <w:szCs w:val="22"/>
        </w:rPr>
      </w:pPr>
      <w:r w:rsidRPr="00715B06">
        <w:rPr>
          <w:rFonts w:ascii="Bookman Old Style" w:hAnsi="Bookman Old Style" w:cs="Century Gothic"/>
          <w:color w:val="000000"/>
          <w:sz w:val="22"/>
          <w:szCs w:val="22"/>
        </w:rPr>
        <w:t xml:space="preserve">Ayrıca, görme engellilerin söz konusu aydınlatmaya erişebilmesi için ilgili mevzuatta (5378 sayılı Engelliler Hakkında Kanun, Erişilebilirlik İzleme ve Denetleme Yönetmeliği vb.) öngörülen uygulamaların yapılması </w:t>
      </w:r>
      <w:r w:rsidR="00D12A69">
        <w:rPr>
          <w:rFonts w:ascii="Bookman Old Style" w:hAnsi="Bookman Old Style" w:cs="Century Gothic"/>
          <w:color w:val="000000"/>
          <w:sz w:val="22"/>
          <w:szCs w:val="22"/>
        </w:rPr>
        <w:t>KMC</w:t>
      </w:r>
      <w:r w:rsidR="003922D4">
        <w:rPr>
          <w:rFonts w:ascii="Bookman Old Style" w:hAnsi="Bookman Old Style" w:cs="Century Gothic"/>
          <w:color w:val="000000"/>
          <w:sz w:val="22"/>
          <w:szCs w:val="22"/>
        </w:rPr>
        <w:t xml:space="preserve"> </w:t>
      </w:r>
      <w:r w:rsidRPr="00715B06">
        <w:rPr>
          <w:rFonts w:ascii="Bookman Old Style" w:hAnsi="Bookman Old Style" w:cs="Century Gothic"/>
          <w:color w:val="000000"/>
          <w:sz w:val="22"/>
          <w:szCs w:val="22"/>
        </w:rPr>
        <w:t>olarak hedeflenmektedir.</w:t>
      </w:r>
    </w:p>
    <w:p w14:paraId="257AF4F6" w14:textId="77777777" w:rsidR="00B94392" w:rsidRPr="00715B06" w:rsidRDefault="00B94392">
      <w:pPr>
        <w:pStyle w:val="Standard"/>
        <w:jc w:val="both"/>
        <w:rPr>
          <w:rFonts w:ascii="Bookman Old Style" w:hAnsi="Bookman Old Style" w:cs="Century Gothic"/>
          <w:color w:val="000000"/>
          <w:sz w:val="22"/>
          <w:szCs w:val="22"/>
        </w:rPr>
      </w:pPr>
    </w:p>
    <w:p w14:paraId="79144FAA" w14:textId="493449C1" w:rsidR="005065CE" w:rsidRPr="00715B06" w:rsidRDefault="00F4412E">
      <w:pPr>
        <w:pStyle w:val="Standard"/>
        <w:jc w:val="both"/>
        <w:rPr>
          <w:rFonts w:ascii="Bookman Old Style" w:hAnsi="Bookman Old Style" w:cs="Century Gothic"/>
          <w:b/>
          <w:bCs/>
          <w:sz w:val="22"/>
          <w:szCs w:val="22"/>
        </w:rPr>
      </w:pPr>
      <w:r w:rsidRPr="00715B06">
        <w:rPr>
          <w:rFonts w:ascii="Bookman Old Style" w:hAnsi="Bookman Old Style" w:cs="Century Gothic"/>
          <w:b/>
          <w:bCs/>
          <w:sz w:val="22"/>
          <w:szCs w:val="22"/>
        </w:rPr>
        <w:t xml:space="preserve">4- </w:t>
      </w:r>
      <w:r w:rsidR="005065CE" w:rsidRPr="00715B06">
        <w:rPr>
          <w:rFonts w:ascii="Bookman Old Style" w:hAnsi="Bookman Old Style" w:cs="Century Gothic"/>
          <w:b/>
          <w:bCs/>
          <w:sz w:val="22"/>
          <w:szCs w:val="22"/>
        </w:rPr>
        <w:t>Aydınlatma Yükümlülüğünü Yerine Getirilirken Uyulması Gereken Usul ve Esaslar</w:t>
      </w:r>
    </w:p>
    <w:p w14:paraId="1B4125D8" w14:textId="77777777" w:rsidR="005065CE" w:rsidRPr="00715B06" w:rsidRDefault="005065CE">
      <w:pPr>
        <w:pStyle w:val="Standard"/>
        <w:jc w:val="both"/>
        <w:rPr>
          <w:rFonts w:ascii="Bookman Old Style" w:hAnsi="Bookman Old Style" w:cs="Century Gothic"/>
          <w:b/>
          <w:bCs/>
          <w:sz w:val="22"/>
          <w:szCs w:val="22"/>
        </w:rPr>
      </w:pPr>
    </w:p>
    <w:p w14:paraId="2D559754" w14:textId="6A212B5F" w:rsidR="005065CE" w:rsidRPr="00715B06" w:rsidRDefault="005065CE">
      <w:pPr>
        <w:pStyle w:val="Standard"/>
        <w:jc w:val="both"/>
        <w:rPr>
          <w:rFonts w:ascii="Bookman Old Style" w:hAnsi="Bookman Old Style" w:cs="Century Gothic"/>
          <w:b/>
          <w:bCs/>
          <w:sz w:val="22"/>
          <w:szCs w:val="22"/>
        </w:rPr>
      </w:pPr>
      <w:r w:rsidRPr="00715B06">
        <w:rPr>
          <w:rFonts w:ascii="Bookman Old Style" w:hAnsi="Bookman Old Style" w:cs="Century Gothic"/>
          <w:b/>
          <w:bCs/>
          <w:sz w:val="22"/>
          <w:szCs w:val="22"/>
        </w:rPr>
        <w:t>1- Kişisel Verilerin İlgili Kişilerden Elde Edilmesi Halinde Aydınlatma</w:t>
      </w:r>
    </w:p>
    <w:p w14:paraId="479B2C69" w14:textId="77777777" w:rsidR="00392C87" w:rsidRPr="00715B06" w:rsidRDefault="00392C87">
      <w:pPr>
        <w:pStyle w:val="Standard"/>
        <w:jc w:val="both"/>
        <w:rPr>
          <w:rFonts w:ascii="Bookman Old Style" w:hAnsi="Bookman Old Style" w:cs="Century Gothic"/>
          <w:b/>
          <w:bCs/>
          <w:sz w:val="22"/>
          <w:szCs w:val="22"/>
        </w:rPr>
      </w:pPr>
    </w:p>
    <w:p w14:paraId="27038925" w14:textId="14309B5A" w:rsidR="00392C87" w:rsidRPr="00715B06" w:rsidRDefault="00D12A69" w:rsidP="00D474EB">
      <w:pPr>
        <w:pStyle w:val="Standard"/>
        <w:jc w:val="both"/>
        <w:rPr>
          <w:rFonts w:ascii="Bookman Old Style" w:hAnsi="Bookman Old Style" w:cs="Century Gothic"/>
          <w:sz w:val="22"/>
          <w:szCs w:val="22"/>
        </w:rPr>
      </w:pPr>
      <w:r>
        <w:rPr>
          <w:rFonts w:ascii="Bookman Old Style" w:hAnsi="Bookman Old Style" w:cs="Century Gothic"/>
          <w:color w:val="000000"/>
          <w:sz w:val="22"/>
          <w:szCs w:val="22"/>
        </w:rPr>
        <w:t>KMC</w:t>
      </w:r>
      <w:r w:rsidR="00392C87" w:rsidRPr="00715B06">
        <w:rPr>
          <w:rFonts w:ascii="Bookman Old Style" w:hAnsi="Bookman Old Style" w:cs="Century Gothic"/>
          <w:b/>
          <w:bCs/>
          <w:sz w:val="22"/>
          <w:szCs w:val="22"/>
        </w:rPr>
        <w:t xml:space="preserve">, </w:t>
      </w:r>
      <w:r w:rsidR="00392C87" w:rsidRPr="00715B06">
        <w:rPr>
          <w:rFonts w:ascii="Bookman Old Style" w:hAnsi="Bookman Old Style" w:cs="Century Gothic"/>
          <w:sz w:val="22"/>
          <w:szCs w:val="22"/>
        </w:rPr>
        <w:t xml:space="preserve">kişisel verilerin elde edilmesi sırasında veri sorumlusu olarak ilgili kişileri bilgilendirmektedir. Aydınlatma yükümlülüğüne ilişkin hükümlerin yer aldığı Kanunun 10. maddesine göre ilgili kişilere aydınlatma yükümlülüğü yerine getirilirken </w:t>
      </w:r>
      <w:r w:rsidR="00D05764">
        <w:rPr>
          <w:rFonts w:ascii="Bookman Old Style" w:hAnsi="Bookman Old Style" w:cs="Century Gothic"/>
          <w:color w:val="000000"/>
          <w:sz w:val="22"/>
          <w:szCs w:val="22"/>
        </w:rPr>
        <w:t>KMC</w:t>
      </w:r>
      <w:r w:rsidR="00392C87" w:rsidRPr="00715B06">
        <w:rPr>
          <w:rFonts w:ascii="Bookman Old Style" w:hAnsi="Bookman Old Style" w:cs="Century Gothic"/>
          <w:sz w:val="22"/>
          <w:szCs w:val="22"/>
        </w:rPr>
        <w:t xml:space="preserve"> tarafından yapılacak bilgilendirme asgari olarak aşağıdaki şartları içermektedir:</w:t>
      </w:r>
    </w:p>
    <w:p w14:paraId="4DB1117B" w14:textId="77777777" w:rsidR="005065CE" w:rsidRPr="00715B06" w:rsidRDefault="005065CE">
      <w:pPr>
        <w:pStyle w:val="Standard"/>
        <w:jc w:val="both"/>
        <w:rPr>
          <w:rFonts w:ascii="Bookman Old Style" w:hAnsi="Bookman Old Style" w:cs="Century Gothic"/>
          <w:b/>
          <w:bCs/>
          <w:sz w:val="22"/>
          <w:szCs w:val="22"/>
        </w:rPr>
      </w:pPr>
    </w:p>
    <w:p w14:paraId="1CF868A3" w14:textId="5DE264ED" w:rsidR="005065CE" w:rsidRPr="00715B06" w:rsidRDefault="005065CE">
      <w:pPr>
        <w:pStyle w:val="Standard"/>
        <w:jc w:val="both"/>
        <w:rPr>
          <w:rFonts w:ascii="Bookman Old Style" w:hAnsi="Bookman Old Style" w:cs="Century Gothic"/>
          <w:b/>
          <w:bCs/>
          <w:sz w:val="22"/>
          <w:szCs w:val="22"/>
        </w:rPr>
      </w:pPr>
      <w:r w:rsidRPr="00715B06">
        <w:rPr>
          <w:rFonts w:ascii="Bookman Old Style" w:hAnsi="Bookman Old Style" w:cs="Century Gothic"/>
          <w:b/>
          <w:bCs/>
          <w:sz w:val="22"/>
          <w:szCs w:val="22"/>
        </w:rPr>
        <w:t>4.1.1- Veri sorumlusunun ve varsa temsilcisinin kimliği</w:t>
      </w:r>
    </w:p>
    <w:p w14:paraId="00D2FD9A" w14:textId="77777777" w:rsidR="00392C87" w:rsidRPr="00715B06" w:rsidRDefault="00392C87">
      <w:pPr>
        <w:pStyle w:val="Standard"/>
        <w:jc w:val="both"/>
        <w:rPr>
          <w:rFonts w:ascii="Bookman Old Style" w:hAnsi="Bookman Old Style" w:cs="Century Gothic"/>
          <w:b/>
          <w:bCs/>
          <w:sz w:val="22"/>
          <w:szCs w:val="22"/>
        </w:rPr>
      </w:pPr>
    </w:p>
    <w:p w14:paraId="39579BE4" w14:textId="10B753A4" w:rsidR="00392C87" w:rsidRPr="00715B06" w:rsidRDefault="00D12A69" w:rsidP="00D474EB">
      <w:pPr>
        <w:pStyle w:val="Standard"/>
        <w:jc w:val="both"/>
        <w:rPr>
          <w:rFonts w:ascii="Bookman Old Style" w:hAnsi="Bookman Old Style" w:cs="Century Gothic"/>
          <w:sz w:val="22"/>
          <w:szCs w:val="22"/>
        </w:rPr>
      </w:pPr>
      <w:r>
        <w:rPr>
          <w:rFonts w:ascii="Bookman Old Style" w:hAnsi="Bookman Old Style" w:cs="Century Gothic"/>
          <w:color w:val="000000"/>
          <w:sz w:val="22"/>
          <w:szCs w:val="22"/>
        </w:rPr>
        <w:t>KMC</w:t>
      </w:r>
      <w:r w:rsidR="00392C87" w:rsidRPr="00715B06">
        <w:rPr>
          <w:rFonts w:ascii="Bookman Old Style" w:hAnsi="Bookman Old Style" w:cs="Century Gothic"/>
          <w:sz w:val="22"/>
          <w:szCs w:val="22"/>
        </w:rPr>
        <w:t>, aydınlatma sırasında kimliğini ortaya koyan bilgileri ve kendisiyle farklı yöntemlerle kolaylıkla iletişime geçilebilecek iletişim bilgilerini açıklamaktadır.</w:t>
      </w:r>
    </w:p>
    <w:p w14:paraId="71045457" w14:textId="77777777" w:rsidR="005065CE" w:rsidRPr="00715B06" w:rsidRDefault="005065CE">
      <w:pPr>
        <w:pStyle w:val="Standard"/>
        <w:jc w:val="both"/>
        <w:rPr>
          <w:rFonts w:ascii="Bookman Old Style" w:hAnsi="Bookman Old Style" w:cs="Century Gothic"/>
          <w:b/>
          <w:bCs/>
          <w:sz w:val="22"/>
          <w:szCs w:val="22"/>
        </w:rPr>
      </w:pPr>
    </w:p>
    <w:p w14:paraId="4E248318" w14:textId="150C4B73" w:rsidR="005065CE" w:rsidRPr="00715B06" w:rsidRDefault="005065CE">
      <w:pPr>
        <w:pStyle w:val="Standard"/>
        <w:jc w:val="both"/>
        <w:rPr>
          <w:rFonts w:ascii="Bookman Old Style" w:hAnsi="Bookman Old Style" w:cs="Century Gothic"/>
          <w:b/>
          <w:bCs/>
          <w:sz w:val="22"/>
          <w:szCs w:val="22"/>
        </w:rPr>
      </w:pPr>
      <w:r w:rsidRPr="00715B06">
        <w:rPr>
          <w:rFonts w:ascii="Bookman Old Style" w:hAnsi="Bookman Old Style" w:cs="Century Gothic"/>
          <w:b/>
          <w:bCs/>
          <w:sz w:val="22"/>
          <w:szCs w:val="22"/>
        </w:rPr>
        <w:t>4.1.2- Kişisel verilerin hangi amaçla işleneceği</w:t>
      </w:r>
    </w:p>
    <w:p w14:paraId="69C6025D" w14:textId="77777777" w:rsidR="00392C87" w:rsidRPr="00715B06" w:rsidRDefault="00392C87">
      <w:pPr>
        <w:pStyle w:val="Standard"/>
        <w:jc w:val="both"/>
        <w:rPr>
          <w:rFonts w:ascii="Bookman Old Style" w:hAnsi="Bookman Old Style" w:cs="Century Gothic"/>
          <w:b/>
          <w:bCs/>
          <w:sz w:val="22"/>
          <w:szCs w:val="22"/>
        </w:rPr>
      </w:pPr>
    </w:p>
    <w:p w14:paraId="6C559109" w14:textId="7E640EA6" w:rsidR="00392C87" w:rsidRPr="00715B06" w:rsidRDefault="00392C87">
      <w:pPr>
        <w:pStyle w:val="Standard"/>
        <w:jc w:val="both"/>
        <w:rPr>
          <w:rFonts w:ascii="Bookman Old Style" w:hAnsi="Bookman Old Style" w:cs="Century Gothic"/>
          <w:sz w:val="22"/>
          <w:szCs w:val="22"/>
        </w:rPr>
      </w:pPr>
      <w:r w:rsidRPr="00715B06">
        <w:rPr>
          <w:rFonts w:ascii="Bookman Old Style" w:hAnsi="Bookman Old Style" w:cs="Century Gothic"/>
          <w:sz w:val="22"/>
          <w:szCs w:val="22"/>
        </w:rPr>
        <w:t xml:space="preserve">Tebliğin 5. maddesinin birinci fıkrası uyarınca; </w:t>
      </w:r>
      <w:r w:rsidR="00D12A69">
        <w:rPr>
          <w:rFonts w:ascii="Bookman Old Style" w:hAnsi="Bookman Old Style" w:cs="Century Gothic"/>
          <w:color w:val="000000"/>
          <w:sz w:val="22"/>
          <w:szCs w:val="22"/>
        </w:rPr>
        <w:t>KMC</w:t>
      </w:r>
      <w:r w:rsidRPr="00715B06">
        <w:rPr>
          <w:rFonts w:ascii="Bookman Old Style" w:hAnsi="Bookman Old Style" w:cs="Century Gothic"/>
          <w:sz w:val="22"/>
          <w:szCs w:val="22"/>
        </w:rPr>
        <w:t xml:space="preserve"> aydınlatma yükümlülüğü yerine getirirken işleme amacının belirli, açık ve meşru olmasına önem vermektedir. Ayrıca </w:t>
      </w:r>
      <w:r w:rsidR="00D12A69">
        <w:rPr>
          <w:rFonts w:ascii="Bookman Old Style" w:hAnsi="Bookman Old Style" w:cs="Century Gothic"/>
          <w:color w:val="000000"/>
          <w:sz w:val="22"/>
          <w:szCs w:val="22"/>
        </w:rPr>
        <w:t>KMC</w:t>
      </w:r>
      <w:r w:rsidRPr="00715B06">
        <w:rPr>
          <w:rFonts w:ascii="Bookman Old Style" w:hAnsi="Bookman Old Style" w:cs="Century Gothic"/>
          <w:sz w:val="22"/>
          <w:szCs w:val="22"/>
        </w:rPr>
        <w:t xml:space="preserve"> bilgilendirmede; genel nitelikte, muğlak ve gündeme gelmesi muhtemel başka amaçlar için işlenebileceği kanaatini uyandıran ifadelerden kaçınmaktadır.</w:t>
      </w:r>
    </w:p>
    <w:p w14:paraId="29A9EBA6" w14:textId="77777777" w:rsidR="005065CE" w:rsidRPr="00715B06" w:rsidRDefault="005065CE">
      <w:pPr>
        <w:pStyle w:val="Standard"/>
        <w:jc w:val="both"/>
        <w:rPr>
          <w:rFonts w:ascii="Bookman Old Style" w:hAnsi="Bookman Old Style" w:cs="Century Gothic"/>
          <w:b/>
          <w:bCs/>
          <w:sz w:val="22"/>
          <w:szCs w:val="22"/>
        </w:rPr>
      </w:pPr>
    </w:p>
    <w:p w14:paraId="76C21000" w14:textId="63925EA9" w:rsidR="005065CE" w:rsidRPr="00715B06" w:rsidRDefault="005065CE">
      <w:pPr>
        <w:pStyle w:val="Standard"/>
        <w:jc w:val="both"/>
        <w:rPr>
          <w:rFonts w:ascii="Bookman Old Style" w:hAnsi="Bookman Old Style" w:cs="Century Gothic"/>
          <w:b/>
          <w:bCs/>
          <w:sz w:val="22"/>
          <w:szCs w:val="22"/>
        </w:rPr>
      </w:pPr>
      <w:r w:rsidRPr="00715B06">
        <w:rPr>
          <w:rFonts w:ascii="Bookman Old Style" w:hAnsi="Bookman Old Style" w:cs="Century Gothic"/>
          <w:b/>
          <w:bCs/>
          <w:sz w:val="22"/>
          <w:szCs w:val="22"/>
        </w:rPr>
        <w:t>4.1.3- Kişisel verilerin kimlere ve hangi amaçla aktarılabileceği</w:t>
      </w:r>
    </w:p>
    <w:p w14:paraId="0DECC1E5" w14:textId="77777777" w:rsidR="00392C87" w:rsidRPr="00715B06" w:rsidRDefault="00392C87">
      <w:pPr>
        <w:pStyle w:val="Standard"/>
        <w:jc w:val="both"/>
        <w:rPr>
          <w:rFonts w:ascii="Bookman Old Style" w:hAnsi="Bookman Old Style" w:cs="Century Gothic"/>
          <w:b/>
          <w:bCs/>
          <w:sz w:val="22"/>
          <w:szCs w:val="22"/>
        </w:rPr>
      </w:pPr>
    </w:p>
    <w:p w14:paraId="4ED72543" w14:textId="715B01A5" w:rsidR="00392C87" w:rsidRPr="00715B06" w:rsidRDefault="00883C4A" w:rsidP="00D474EB">
      <w:pPr>
        <w:pStyle w:val="Standard"/>
        <w:jc w:val="both"/>
        <w:rPr>
          <w:rFonts w:ascii="Bookman Old Style" w:hAnsi="Bookman Old Style" w:cs="Century Gothic"/>
          <w:sz w:val="22"/>
          <w:szCs w:val="22"/>
        </w:rPr>
      </w:pPr>
      <w:r w:rsidRPr="00715B06">
        <w:rPr>
          <w:rFonts w:ascii="Bookman Old Style" w:hAnsi="Bookman Old Style" w:cs="Century Gothic"/>
          <w:sz w:val="22"/>
          <w:szCs w:val="22"/>
        </w:rPr>
        <w:t xml:space="preserve">Tebliğin 5. maddesine göre, </w:t>
      </w:r>
      <w:r w:rsidR="00D12A69">
        <w:rPr>
          <w:rFonts w:ascii="Bookman Old Style" w:hAnsi="Bookman Old Style" w:cs="Century Gothic"/>
          <w:sz w:val="22"/>
          <w:szCs w:val="22"/>
        </w:rPr>
        <w:t>KMC</w:t>
      </w:r>
      <w:r w:rsidRPr="00715B06">
        <w:rPr>
          <w:rFonts w:ascii="Bookman Old Style" w:hAnsi="Bookman Old Style" w:cs="Century Gothic"/>
          <w:sz w:val="22"/>
          <w:szCs w:val="22"/>
        </w:rPr>
        <w:t xml:space="preserve"> tarafından aydınlatma yükümlülüğü yerine getirilirken kişisel verilerin aktarılma amacı ve aktarılacak alıcı grupları da açıkça belirtilmektedir.</w:t>
      </w:r>
    </w:p>
    <w:p w14:paraId="2EBD6896" w14:textId="77777777" w:rsidR="00883C4A" w:rsidRPr="00715B06" w:rsidRDefault="00883C4A" w:rsidP="00883C4A">
      <w:pPr>
        <w:pStyle w:val="Standard"/>
        <w:ind w:firstLine="708"/>
        <w:jc w:val="both"/>
        <w:rPr>
          <w:rFonts w:ascii="Bookman Old Style" w:hAnsi="Bookman Old Style" w:cs="Century Gothic"/>
          <w:sz w:val="22"/>
          <w:szCs w:val="22"/>
        </w:rPr>
      </w:pPr>
    </w:p>
    <w:p w14:paraId="336215E3" w14:textId="2AC84CD1" w:rsidR="00883C4A" w:rsidRPr="00715B06" w:rsidRDefault="00D12A69" w:rsidP="00D474EB">
      <w:pPr>
        <w:pStyle w:val="Standard"/>
        <w:jc w:val="both"/>
        <w:rPr>
          <w:rFonts w:ascii="Bookman Old Style" w:hAnsi="Bookman Old Style" w:cs="Century Gothic"/>
          <w:sz w:val="22"/>
          <w:szCs w:val="22"/>
        </w:rPr>
      </w:pPr>
      <w:r>
        <w:rPr>
          <w:rFonts w:ascii="Bookman Old Style" w:hAnsi="Bookman Old Style" w:cs="Century Gothic"/>
          <w:color w:val="000000"/>
          <w:sz w:val="22"/>
          <w:szCs w:val="22"/>
        </w:rPr>
        <w:t xml:space="preserve">KMC </w:t>
      </w:r>
      <w:r w:rsidR="00883C4A" w:rsidRPr="00715B06">
        <w:rPr>
          <w:rFonts w:ascii="Bookman Old Style" w:hAnsi="Bookman Old Style" w:cs="Century Gothic"/>
          <w:sz w:val="22"/>
          <w:szCs w:val="22"/>
        </w:rPr>
        <w:t>tarafından aktarım yapılan söz konusu alıcı grupları iş ortakları, tedarikçiler, hissedar/ortaklar, kanunen yetkili kamu kurum ve kuruluşları, kanunen yetkili özel hukuk kişileridir.</w:t>
      </w:r>
    </w:p>
    <w:p w14:paraId="54EE85AC" w14:textId="77777777" w:rsidR="00883C4A" w:rsidRPr="00715B06" w:rsidRDefault="00883C4A" w:rsidP="00883C4A">
      <w:pPr>
        <w:pStyle w:val="Standard"/>
        <w:ind w:firstLine="708"/>
        <w:jc w:val="both"/>
        <w:rPr>
          <w:rFonts w:ascii="Bookman Old Style" w:hAnsi="Bookman Old Style" w:cs="Century Gothic"/>
          <w:sz w:val="22"/>
          <w:szCs w:val="22"/>
        </w:rPr>
      </w:pPr>
    </w:p>
    <w:p w14:paraId="5D8AFA03" w14:textId="64D31C66" w:rsidR="00883C4A" w:rsidRPr="00715B06" w:rsidRDefault="00D12A69" w:rsidP="00D474EB">
      <w:pPr>
        <w:pStyle w:val="Standard"/>
        <w:jc w:val="both"/>
        <w:rPr>
          <w:rFonts w:ascii="Bookman Old Style" w:hAnsi="Bookman Old Style" w:cs="Century Gothic"/>
          <w:sz w:val="22"/>
          <w:szCs w:val="22"/>
        </w:rPr>
      </w:pPr>
      <w:r>
        <w:rPr>
          <w:rFonts w:ascii="Bookman Old Style" w:hAnsi="Bookman Old Style" w:cs="Century Gothic"/>
          <w:color w:val="000000"/>
          <w:sz w:val="22"/>
          <w:szCs w:val="22"/>
        </w:rPr>
        <w:t>KMC</w:t>
      </w:r>
      <w:r w:rsidR="00883C4A" w:rsidRPr="00715B06">
        <w:rPr>
          <w:rFonts w:ascii="Bookman Old Style" w:hAnsi="Bookman Old Style" w:cs="Century Gothic"/>
          <w:sz w:val="22"/>
          <w:szCs w:val="22"/>
        </w:rPr>
        <w:t xml:space="preserve"> tarafından yurtdışına veri aktarımı yapılmamaktadır.</w:t>
      </w:r>
    </w:p>
    <w:p w14:paraId="37A63FD3" w14:textId="77777777" w:rsidR="005065CE" w:rsidRPr="00715B06" w:rsidRDefault="005065CE">
      <w:pPr>
        <w:pStyle w:val="Standard"/>
        <w:jc w:val="both"/>
        <w:rPr>
          <w:rFonts w:ascii="Bookman Old Style" w:hAnsi="Bookman Old Style" w:cs="Century Gothic"/>
          <w:b/>
          <w:bCs/>
          <w:sz w:val="22"/>
          <w:szCs w:val="22"/>
        </w:rPr>
      </w:pPr>
    </w:p>
    <w:p w14:paraId="7FEB495B" w14:textId="66F1C3BC" w:rsidR="005065CE" w:rsidRPr="00715B06" w:rsidRDefault="005065CE">
      <w:pPr>
        <w:pStyle w:val="Standard"/>
        <w:jc w:val="both"/>
        <w:rPr>
          <w:rFonts w:ascii="Bookman Old Style" w:hAnsi="Bookman Old Style" w:cs="Century Gothic"/>
          <w:b/>
          <w:bCs/>
          <w:sz w:val="22"/>
          <w:szCs w:val="22"/>
        </w:rPr>
      </w:pPr>
      <w:r w:rsidRPr="00715B06">
        <w:rPr>
          <w:rFonts w:ascii="Bookman Old Style" w:hAnsi="Bookman Old Style" w:cs="Century Gothic"/>
          <w:b/>
          <w:bCs/>
          <w:sz w:val="22"/>
          <w:szCs w:val="22"/>
        </w:rPr>
        <w:t>4.1.4- Kişisel veri toplamanın yöntemi ve hukuki sebebi</w:t>
      </w:r>
    </w:p>
    <w:p w14:paraId="006A21BF" w14:textId="77777777" w:rsidR="00883C4A" w:rsidRPr="00715B06" w:rsidRDefault="00883C4A">
      <w:pPr>
        <w:pStyle w:val="Standard"/>
        <w:jc w:val="both"/>
        <w:rPr>
          <w:rFonts w:ascii="Bookman Old Style" w:hAnsi="Bookman Old Style" w:cs="Century Gothic"/>
          <w:b/>
          <w:bCs/>
          <w:sz w:val="22"/>
          <w:szCs w:val="22"/>
        </w:rPr>
      </w:pPr>
    </w:p>
    <w:p w14:paraId="34413FE5" w14:textId="585373EF" w:rsidR="00715B06" w:rsidRDefault="00883C4A" w:rsidP="00D474EB">
      <w:pPr>
        <w:pStyle w:val="Standard"/>
        <w:jc w:val="both"/>
        <w:rPr>
          <w:rFonts w:ascii="Bookman Old Style" w:hAnsi="Bookman Old Style" w:cs="Century Gothic"/>
          <w:sz w:val="22"/>
          <w:szCs w:val="22"/>
        </w:rPr>
      </w:pPr>
      <w:r w:rsidRPr="00715B06">
        <w:rPr>
          <w:rFonts w:ascii="Bookman Old Style" w:hAnsi="Bookman Old Style" w:cs="Century Gothic"/>
          <w:sz w:val="22"/>
          <w:szCs w:val="22"/>
        </w:rPr>
        <w:t xml:space="preserve">Tebliğin 5. maddesine göre; </w:t>
      </w:r>
      <w:r w:rsidR="00D12A69">
        <w:rPr>
          <w:rFonts w:ascii="Bookman Old Style" w:hAnsi="Bookman Old Style" w:cs="Century Gothic"/>
          <w:color w:val="000000"/>
          <w:sz w:val="22"/>
          <w:szCs w:val="22"/>
        </w:rPr>
        <w:t>KMC</w:t>
      </w:r>
      <w:r w:rsidRPr="00715B06">
        <w:rPr>
          <w:rFonts w:ascii="Bookman Old Style" w:hAnsi="Bookman Old Style" w:cs="Century Gothic"/>
          <w:sz w:val="22"/>
          <w:szCs w:val="22"/>
        </w:rPr>
        <w:t xml:space="preserve">, Kanunun 5 ve 6. maddelerinde sayılan kişisel veri işleme şartlarından hangisine dayanarak kişisel veriyi işlendiğini açıkça belirtmektedir. Ayrıca </w:t>
      </w:r>
      <w:r w:rsidR="00D12A69">
        <w:rPr>
          <w:rFonts w:ascii="Bookman Old Style" w:hAnsi="Bookman Old Style" w:cs="Century Gothic"/>
          <w:color w:val="000000"/>
          <w:sz w:val="22"/>
          <w:szCs w:val="22"/>
        </w:rPr>
        <w:t>KMC</w:t>
      </w:r>
      <w:r w:rsidRPr="00715B06">
        <w:rPr>
          <w:rFonts w:ascii="Bookman Old Style" w:hAnsi="Bookman Old Style" w:cs="Century Gothic"/>
          <w:sz w:val="22"/>
          <w:szCs w:val="22"/>
        </w:rPr>
        <w:t xml:space="preserve">, kişisel verilerin tamamen veya kısmen otomatik yollarla ya da veri kayıt sisteminin parçası olmak kaydıyla otomatik olmayan yöntemlerden hangisiyle elde edildiğini açık bir şekilde belirtilmektedir. </w:t>
      </w:r>
      <w:r w:rsidR="00D12A69">
        <w:rPr>
          <w:rFonts w:ascii="Bookman Old Style" w:hAnsi="Bookman Old Style" w:cs="Century Gothic"/>
          <w:color w:val="000000"/>
          <w:sz w:val="22"/>
          <w:szCs w:val="22"/>
        </w:rPr>
        <w:t>KMC</w:t>
      </w:r>
      <w:r w:rsidR="00872469" w:rsidRPr="00715B06">
        <w:rPr>
          <w:rFonts w:ascii="Bookman Old Style" w:hAnsi="Bookman Old Style" w:cs="Century Gothic"/>
          <w:sz w:val="22"/>
          <w:szCs w:val="22"/>
        </w:rPr>
        <w:t>, veri toplama yöntemi ve aracına kendisi karar vermektedir.</w:t>
      </w:r>
    </w:p>
    <w:p w14:paraId="47038843" w14:textId="77777777" w:rsidR="00715B06" w:rsidRPr="00715B06" w:rsidRDefault="00715B06" w:rsidP="00D474EB">
      <w:pPr>
        <w:pStyle w:val="Standard"/>
        <w:jc w:val="both"/>
        <w:rPr>
          <w:rFonts w:ascii="Bookman Old Style" w:hAnsi="Bookman Old Style" w:cs="Century Gothic"/>
          <w:sz w:val="22"/>
          <w:szCs w:val="22"/>
        </w:rPr>
      </w:pPr>
    </w:p>
    <w:p w14:paraId="67F6A3FE" w14:textId="77777777" w:rsidR="005065CE" w:rsidRPr="00715B06" w:rsidRDefault="005065CE">
      <w:pPr>
        <w:pStyle w:val="Standard"/>
        <w:jc w:val="both"/>
        <w:rPr>
          <w:rFonts w:ascii="Bookman Old Style" w:hAnsi="Bookman Old Style" w:cs="Century Gothic"/>
          <w:b/>
          <w:bCs/>
          <w:sz w:val="22"/>
          <w:szCs w:val="22"/>
        </w:rPr>
      </w:pPr>
    </w:p>
    <w:p w14:paraId="7BFE26C4" w14:textId="662D9730" w:rsidR="005065CE" w:rsidRPr="00715B06" w:rsidRDefault="005065CE">
      <w:pPr>
        <w:pStyle w:val="Standard"/>
        <w:jc w:val="both"/>
        <w:rPr>
          <w:rFonts w:ascii="Bookman Old Style" w:hAnsi="Bookman Old Style" w:cs="Century Gothic"/>
          <w:b/>
          <w:bCs/>
          <w:sz w:val="22"/>
          <w:szCs w:val="22"/>
        </w:rPr>
      </w:pPr>
      <w:r w:rsidRPr="00715B06">
        <w:rPr>
          <w:rFonts w:ascii="Bookman Old Style" w:hAnsi="Bookman Old Style" w:cs="Century Gothic"/>
          <w:b/>
          <w:bCs/>
          <w:sz w:val="22"/>
          <w:szCs w:val="22"/>
        </w:rPr>
        <w:t>4.1.5- İlgili kişinin, Kanunun 11. maddesinde sayılan diğer hakları</w:t>
      </w:r>
    </w:p>
    <w:p w14:paraId="6022167A" w14:textId="77777777" w:rsidR="00872469" w:rsidRPr="00715B06" w:rsidRDefault="00872469">
      <w:pPr>
        <w:pStyle w:val="Standard"/>
        <w:jc w:val="both"/>
        <w:rPr>
          <w:rFonts w:ascii="Bookman Old Style" w:hAnsi="Bookman Old Style" w:cs="Century Gothic"/>
          <w:b/>
          <w:bCs/>
          <w:sz w:val="22"/>
          <w:szCs w:val="22"/>
        </w:rPr>
      </w:pPr>
    </w:p>
    <w:p w14:paraId="16C5281B" w14:textId="43DBFF98" w:rsidR="00872469" w:rsidRPr="00715B06" w:rsidRDefault="00D12A69" w:rsidP="00D474EB">
      <w:pPr>
        <w:pStyle w:val="Standard"/>
        <w:jc w:val="both"/>
        <w:rPr>
          <w:rFonts w:ascii="Bookman Old Style" w:hAnsi="Bookman Old Style" w:cs="Century Gothic"/>
          <w:sz w:val="22"/>
          <w:szCs w:val="22"/>
        </w:rPr>
      </w:pPr>
      <w:r>
        <w:rPr>
          <w:rFonts w:ascii="Bookman Old Style" w:hAnsi="Bookman Old Style" w:cs="Century Gothic"/>
          <w:color w:val="000000"/>
          <w:sz w:val="22"/>
          <w:szCs w:val="22"/>
        </w:rPr>
        <w:t>KMC</w:t>
      </w:r>
      <w:r w:rsidR="00872469" w:rsidRPr="00715B06">
        <w:rPr>
          <w:rFonts w:ascii="Bookman Old Style" w:hAnsi="Bookman Old Style" w:cs="Century Gothic"/>
          <w:sz w:val="22"/>
          <w:szCs w:val="22"/>
        </w:rPr>
        <w:t xml:space="preserve"> ilgili kişiye aydınlatmada bulunurken Kanunun 11. maddesinde sayılan haklara da sahip olduğunu belirtmektedir. Bu bilgi, bir formda sayma suretiyle verilebileceği gibi yine aynı formda söz konusu Kanun maddesine atıfta bulunarak da verilebilmektedir.</w:t>
      </w:r>
    </w:p>
    <w:p w14:paraId="24A048DC" w14:textId="77777777" w:rsidR="005065CE" w:rsidRPr="00715B06" w:rsidRDefault="005065CE">
      <w:pPr>
        <w:pStyle w:val="Standard"/>
        <w:jc w:val="both"/>
        <w:rPr>
          <w:rFonts w:ascii="Bookman Old Style" w:hAnsi="Bookman Old Style" w:cs="Century Gothic"/>
          <w:b/>
          <w:bCs/>
          <w:sz w:val="22"/>
          <w:szCs w:val="22"/>
        </w:rPr>
      </w:pPr>
    </w:p>
    <w:p w14:paraId="3417EA7A" w14:textId="0D970116" w:rsidR="005065CE" w:rsidRPr="00715B06" w:rsidRDefault="005065CE">
      <w:pPr>
        <w:pStyle w:val="Standard"/>
        <w:jc w:val="both"/>
        <w:rPr>
          <w:rFonts w:ascii="Bookman Old Style" w:hAnsi="Bookman Old Style" w:cs="Century Gothic"/>
          <w:b/>
          <w:bCs/>
          <w:sz w:val="22"/>
          <w:szCs w:val="22"/>
        </w:rPr>
      </w:pPr>
      <w:r w:rsidRPr="00715B06">
        <w:rPr>
          <w:rFonts w:ascii="Bookman Old Style" w:hAnsi="Bookman Old Style" w:cs="Century Gothic"/>
          <w:b/>
          <w:bCs/>
          <w:sz w:val="22"/>
          <w:szCs w:val="22"/>
        </w:rPr>
        <w:t>4.</w:t>
      </w:r>
      <w:r w:rsidR="00872469" w:rsidRPr="00715B06">
        <w:rPr>
          <w:rFonts w:ascii="Bookman Old Style" w:hAnsi="Bookman Old Style" w:cs="Century Gothic"/>
          <w:b/>
          <w:bCs/>
          <w:sz w:val="22"/>
          <w:szCs w:val="22"/>
        </w:rPr>
        <w:t>2- Kişisel Verilerin İlgili Kişiden Elde Edilmemesi Halinde Aydınlatma</w:t>
      </w:r>
    </w:p>
    <w:p w14:paraId="148B19E6" w14:textId="77777777" w:rsidR="00872469" w:rsidRPr="00715B06" w:rsidRDefault="00872469">
      <w:pPr>
        <w:pStyle w:val="Standard"/>
        <w:jc w:val="both"/>
        <w:rPr>
          <w:rFonts w:ascii="Bookman Old Style" w:hAnsi="Bookman Old Style" w:cs="Century Gothic"/>
          <w:b/>
          <w:bCs/>
          <w:sz w:val="22"/>
          <w:szCs w:val="22"/>
        </w:rPr>
      </w:pPr>
    </w:p>
    <w:p w14:paraId="376D3C49" w14:textId="032C93D4" w:rsidR="00872469" w:rsidRPr="00715B06" w:rsidRDefault="00872469">
      <w:pPr>
        <w:pStyle w:val="Standard"/>
        <w:jc w:val="both"/>
        <w:rPr>
          <w:rFonts w:ascii="Bookman Old Style" w:hAnsi="Bookman Old Style" w:cs="Century Gothic"/>
          <w:sz w:val="22"/>
          <w:szCs w:val="22"/>
        </w:rPr>
      </w:pPr>
      <w:r w:rsidRPr="00715B06">
        <w:rPr>
          <w:rFonts w:ascii="Bookman Old Style" w:hAnsi="Bookman Old Style" w:cs="Century Gothic"/>
          <w:sz w:val="22"/>
          <w:szCs w:val="22"/>
        </w:rPr>
        <w:t xml:space="preserve">Kişisel verilerin Kanuna uygun bir şekilde işlenebilmesi için öncelikle kişisel verilerin ilgili kişiden elde edilmesi gerekmektedir. Ancak, Tebliğin 6. maddesi, kişisel verilerin ilgili kişiden elde edilmemesi halinde aydınlatma yükümlülüğünün nasıl yerine getirileceğini düzenlemiştir. </w:t>
      </w:r>
    </w:p>
    <w:p w14:paraId="74AE8B0B" w14:textId="77777777" w:rsidR="00872469" w:rsidRPr="00715B06" w:rsidRDefault="00872469">
      <w:pPr>
        <w:pStyle w:val="Standard"/>
        <w:jc w:val="both"/>
        <w:rPr>
          <w:rFonts w:ascii="Bookman Old Style" w:hAnsi="Bookman Old Style" w:cs="Century Gothic"/>
          <w:sz w:val="22"/>
          <w:szCs w:val="22"/>
        </w:rPr>
      </w:pPr>
    </w:p>
    <w:p w14:paraId="67190C9F" w14:textId="23F55654" w:rsidR="00872469" w:rsidRPr="00715B06" w:rsidRDefault="00872469" w:rsidP="00D474EB">
      <w:pPr>
        <w:pStyle w:val="Standard"/>
        <w:jc w:val="both"/>
        <w:rPr>
          <w:rFonts w:ascii="Bookman Old Style" w:hAnsi="Bookman Old Style" w:cs="Century Gothic"/>
          <w:sz w:val="22"/>
          <w:szCs w:val="22"/>
        </w:rPr>
      </w:pPr>
      <w:r w:rsidRPr="00715B06">
        <w:rPr>
          <w:rFonts w:ascii="Bookman Old Style" w:hAnsi="Bookman Old Style" w:cs="Century Gothic"/>
          <w:sz w:val="22"/>
          <w:szCs w:val="22"/>
        </w:rPr>
        <w:t xml:space="preserve">Buna göre; </w:t>
      </w:r>
      <w:r w:rsidR="00D12A69">
        <w:rPr>
          <w:rFonts w:ascii="Bookman Old Style" w:hAnsi="Bookman Old Style" w:cs="Century Gothic"/>
          <w:color w:val="000000"/>
          <w:sz w:val="22"/>
          <w:szCs w:val="22"/>
        </w:rPr>
        <w:t>KMC</w:t>
      </w:r>
      <w:r w:rsidRPr="00715B06">
        <w:rPr>
          <w:rFonts w:ascii="Bookman Old Style" w:hAnsi="Bookman Old Style" w:cs="Century Gothic"/>
          <w:sz w:val="22"/>
          <w:szCs w:val="22"/>
        </w:rPr>
        <w:t xml:space="preserve"> fiili imkânsızlık veya ilgili kişiye ulaşılamaması nedeniyle kişisel verileri doğrudan ilgili kişiden elde edememesi durumunda; - Kişisel verinin elde edilmesinden itibaren makul bir süre içerisinde, - Kişisel verinin ilgili kişiyle iletişim amacıyla kullanılacak olması durumunda, ilk iletişim kurulması esnasında, - Kişisel verilerin aktarılacak olması halinde, en geç kişisel verilerin ilk kez aktarımının yapılacağı esnada, ilgili kişiye karşı aydınlatma yükümlülüğünü yerine getirmektedir.</w:t>
      </w:r>
    </w:p>
    <w:p w14:paraId="4EE19CA6" w14:textId="77777777" w:rsidR="00A1075A" w:rsidRPr="00715B06" w:rsidRDefault="00A1075A">
      <w:pPr>
        <w:pStyle w:val="Standard"/>
        <w:jc w:val="both"/>
        <w:rPr>
          <w:rFonts w:ascii="Bookman Old Style" w:hAnsi="Bookman Old Style" w:cs="Century Gothic"/>
          <w:sz w:val="22"/>
          <w:szCs w:val="22"/>
        </w:rPr>
      </w:pPr>
    </w:p>
    <w:p w14:paraId="404374FB" w14:textId="12428CFA" w:rsidR="00872469" w:rsidRPr="00715B06" w:rsidRDefault="00872469" w:rsidP="00872469">
      <w:pPr>
        <w:pStyle w:val="Standard"/>
        <w:jc w:val="both"/>
        <w:rPr>
          <w:rFonts w:ascii="Bookman Old Style" w:hAnsi="Bookman Old Style" w:cs="Century Gothic"/>
          <w:b/>
          <w:bCs/>
          <w:sz w:val="22"/>
          <w:szCs w:val="22"/>
        </w:rPr>
      </w:pPr>
      <w:r w:rsidRPr="00715B06">
        <w:rPr>
          <w:rFonts w:ascii="Bookman Old Style" w:hAnsi="Bookman Old Style" w:cs="Century Gothic"/>
          <w:b/>
          <w:bCs/>
          <w:sz w:val="22"/>
          <w:szCs w:val="22"/>
        </w:rPr>
        <w:t>4.3- Aydınlatma Yükümlülüğünün Yerine Getirilmediği Haller</w:t>
      </w:r>
    </w:p>
    <w:p w14:paraId="76EB9181" w14:textId="77777777" w:rsidR="00A1075A" w:rsidRPr="00715B06" w:rsidRDefault="00A1075A">
      <w:pPr>
        <w:pStyle w:val="Standard"/>
        <w:jc w:val="both"/>
        <w:rPr>
          <w:rFonts w:ascii="Bookman Old Style" w:hAnsi="Bookman Old Style" w:cs="Century Gothic"/>
          <w:sz w:val="22"/>
          <w:szCs w:val="22"/>
        </w:rPr>
      </w:pPr>
    </w:p>
    <w:p w14:paraId="12159624" w14:textId="67F06925" w:rsidR="00FC7A87" w:rsidRPr="00715B06" w:rsidRDefault="00D12A69" w:rsidP="00715B06">
      <w:pPr>
        <w:pStyle w:val="Standard"/>
        <w:jc w:val="both"/>
        <w:rPr>
          <w:rFonts w:ascii="Bookman Old Style" w:hAnsi="Bookman Old Style" w:cs="Century Gothic"/>
          <w:sz w:val="22"/>
          <w:szCs w:val="22"/>
        </w:rPr>
      </w:pPr>
      <w:r>
        <w:rPr>
          <w:rFonts w:ascii="Bookman Old Style" w:hAnsi="Bookman Old Style" w:cs="Century Gothic"/>
          <w:color w:val="000000"/>
          <w:sz w:val="22"/>
          <w:szCs w:val="22"/>
        </w:rPr>
        <w:t>KMC</w:t>
      </w:r>
      <w:r w:rsidR="00867AEA" w:rsidRPr="00715B06">
        <w:rPr>
          <w:rFonts w:ascii="Bookman Old Style" w:hAnsi="Bookman Old Style" w:cs="Century Gothic"/>
          <w:sz w:val="22"/>
          <w:szCs w:val="22"/>
        </w:rPr>
        <w:t xml:space="preserve"> tarafından Kanunun “İstisnalar” başlıklı 28. maddesinde belirtilen faaliyetler kapsamında kişisel veri işlenmesi durumunda aydınlatma yükümlülüğü zorunlu olmadığı için yerine getirilmemektedir. Bunlar, aydınlatma yükümlülüğüne getirilen istisnalardır.</w:t>
      </w:r>
    </w:p>
    <w:p w14:paraId="2B91274C" w14:textId="77777777" w:rsidR="00FC7A87" w:rsidRPr="00715B06" w:rsidRDefault="00FC7A87">
      <w:pPr>
        <w:pStyle w:val="Standard"/>
        <w:ind w:firstLine="708"/>
        <w:jc w:val="both"/>
        <w:rPr>
          <w:rFonts w:ascii="Bookman Old Style" w:hAnsi="Bookman Old Style" w:cs="Century Gothic"/>
          <w:sz w:val="14"/>
          <w:szCs w:val="14"/>
        </w:rPr>
      </w:pPr>
    </w:p>
    <w:p w14:paraId="7FC3433A" w14:textId="77777777" w:rsidR="00FC7A87" w:rsidRPr="00715B06" w:rsidRDefault="00FC7A87">
      <w:pPr>
        <w:pStyle w:val="Standard"/>
        <w:ind w:firstLine="708"/>
        <w:jc w:val="both"/>
        <w:rPr>
          <w:rFonts w:ascii="Bookman Old Style" w:hAnsi="Bookman Old Style" w:cs="Century Gothic"/>
          <w:sz w:val="14"/>
          <w:szCs w:val="14"/>
        </w:rPr>
      </w:pPr>
    </w:p>
    <w:p w14:paraId="2FF9B4E6" w14:textId="77777777" w:rsidR="00715B06" w:rsidRDefault="00715B06">
      <w:pPr>
        <w:pStyle w:val="Standard"/>
        <w:ind w:firstLine="708"/>
        <w:jc w:val="both"/>
        <w:rPr>
          <w:rFonts w:ascii="Bookman Old Style" w:hAnsi="Bookman Old Style" w:cs="Century Gothic"/>
          <w:sz w:val="14"/>
          <w:szCs w:val="14"/>
        </w:rPr>
      </w:pPr>
    </w:p>
    <w:p w14:paraId="4F64D678" w14:textId="77777777" w:rsidR="00715B06" w:rsidRDefault="00715B06">
      <w:pPr>
        <w:pStyle w:val="Standard"/>
        <w:ind w:firstLine="708"/>
        <w:jc w:val="both"/>
        <w:rPr>
          <w:rFonts w:ascii="Bookman Old Style" w:hAnsi="Bookman Old Style" w:cs="Century Gothic"/>
          <w:sz w:val="14"/>
          <w:szCs w:val="14"/>
        </w:rPr>
      </w:pPr>
    </w:p>
    <w:p w14:paraId="7DE77AA9" w14:textId="77777777" w:rsidR="00715B06" w:rsidRDefault="00715B06">
      <w:pPr>
        <w:pStyle w:val="Standard"/>
        <w:ind w:firstLine="708"/>
        <w:jc w:val="both"/>
        <w:rPr>
          <w:rFonts w:ascii="Bookman Old Style" w:hAnsi="Bookman Old Style" w:cs="Century Gothic"/>
          <w:sz w:val="14"/>
          <w:szCs w:val="14"/>
        </w:rPr>
      </w:pPr>
    </w:p>
    <w:p w14:paraId="6EF62788" w14:textId="77777777" w:rsidR="00715B06" w:rsidRDefault="00715B06">
      <w:pPr>
        <w:pStyle w:val="Standard"/>
        <w:ind w:firstLine="708"/>
        <w:jc w:val="both"/>
        <w:rPr>
          <w:rFonts w:ascii="Bookman Old Style" w:hAnsi="Bookman Old Style" w:cs="Century Gothic"/>
          <w:sz w:val="14"/>
          <w:szCs w:val="14"/>
        </w:rPr>
      </w:pPr>
    </w:p>
    <w:p w14:paraId="5CF3B76A" w14:textId="77777777" w:rsidR="00715B06" w:rsidRDefault="00715B06">
      <w:pPr>
        <w:pStyle w:val="Standard"/>
        <w:ind w:firstLine="708"/>
        <w:jc w:val="both"/>
        <w:rPr>
          <w:rFonts w:ascii="Bookman Old Style" w:hAnsi="Bookman Old Style" w:cs="Century Gothic"/>
          <w:sz w:val="14"/>
          <w:szCs w:val="14"/>
        </w:rPr>
      </w:pPr>
    </w:p>
    <w:p w14:paraId="2F4EF04F" w14:textId="77777777" w:rsidR="00715B06" w:rsidRDefault="00715B06">
      <w:pPr>
        <w:pStyle w:val="Standard"/>
        <w:ind w:firstLine="708"/>
        <w:jc w:val="both"/>
        <w:rPr>
          <w:rFonts w:ascii="Bookman Old Style" w:hAnsi="Bookman Old Style" w:cs="Century Gothic"/>
          <w:sz w:val="14"/>
          <w:szCs w:val="14"/>
        </w:rPr>
      </w:pPr>
    </w:p>
    <w:p w14:paraId="18B1A7D3" w14:textId="77777777" w:rsidR="00715B06" w:rsidRDefault="00715B06">
      <w:pPr>
        <w:pStyle w:val="Standard"/>
        <w:ind w:firstLine="708"/>
        <w:jc w:val="both"/>
        <w:rPr>
          <w:rFonts w:ascii="Bookman Old Style" w:hAnsi="Bookman Old Style" w:cs="Century Gothic"/>
          <w:sz w:val="14"/>
          <w:szCs w:val="14"/>
        </w:rPr>
      </w:pPr>
    </w:p>
    <w:p w14:paraId="36D918BA" w14:textId="77777777" w:rsidR="00715B06" w:rsidRDefault="00715B06">
      <w:pPr>
        <w:pStyle w:val="Standard"/>
        <w:ind w:firstLine="708"/>
        <w:jc w:val="both"/>
        <w:rPr>
          <w:rFonts w:ascii="Bookman Old Style" w:hAnsi="Bookman Old Style" w:cs="Century Gothic"/>
          <w:sz w:val="14"/>
          <w:szCs w:val="14"/>
        </w:rPr>
      </w:pPr>
    </w:p>
    <w:p w14:paraId="440DD4DE" w14:textId="77777777" w:rsidR="00715B06" w:rsidRDefault="00715B06">
      <w:pPr>
        <w:pStyle w:val="Standard"/>
        <w:ind w:firstLine="708"/>
        <w:jc w:val="both"/>
        <w:rPr>
          <w:rFonts w:ascii="Bookman Old Style" w:hAnsi="Bookman Old Style" w:cs="Century Gothic"/>
          <w:sz w:val="14"/>
          <w:szCs w:val="14"/>
        </w:rPr>
      </w:pPr>
    </w:p>
    <w:p w14:paraId="23F8E3FB" w14:textId="77777777" w:rsidR="00715B06" w:rsidRDefault="00715B06">
      <w:pPr>
        <w:pStyle w:val="Standard"/>
        <w:ind w:firstLine="708"/>
        <w:jc w:val="both"/>
        <w:rPr>
          <w:rFonts w:ascii="Bookman Old Style" w:hAnsi="Bookman Old Style" w:cs="Century Gothic"/>
          <w:sz w:val="14"/>
          <w:szCs w:val="14"/>
        </w:rPr>
      </w:pPr>
    </w:p>
    <w:p w14:paraId="51AA14E8" w14:textId="77777777" w:rsidR="00715B06" w:rsidRDefault="00715B06">
      <w:pPr>
        <w:pStyle w:val="Standard"/>
        <w:ind w:firstLine="708"/>
        <w:jc w:val="both"/>
        <w:rPr>
          <w:rFonts w:ascii="Bookman Old Style" w:hAnsi="Bookman Old Style" w:cs="Century Gothic"/>
          <w:sz w:val="14"/>
          <w:szCs w:val="14"/>
        </w:rPr>
      </w:pPr>
    </w:p>
    <w:p w14:paraId="2A97F47C" w14:textId="77777777" w:rsidR="00715B06" w:rsidRDefault="00715B06">
      <w:pPr>
        <w:pStyle w:val="Standard"/>
        <w:ind w:firstLine="708"/>
        <w:jc w:val="both"/>
        <w:rPr>
          <w:rFonts w:ascii="Bookman Old Style" w:hAnsi="Bookman Old Style" w:cs="Century Gothic"/>
          <w:sz w:val="14"/>
          <w:szCs w:val="14"/>
        </w:rPr>
      </w:pPr>
    </w:p>
    <w:p w14:paraId="48ABCAD0" w14:textId="77777777" w:rsidR="00715B06" w:rsidRDefault="00715B06">
      <w:pPr>
        <w:pStyle w:val="Standard"/>
        <w:ind w:firstLine="708"/>
        <w:jc w:val="both"/>
        <w:rPr>
          <w:rFonts w:ascii="Bookman Old Style" w:hAnsi="Bookman Old Style" w:cs="Century Gothic"/>
          <w:sz w:val="14"/>
          <w:szCs w:val="14"/>
        </w:rPr>
      </w:pPr>
    </w:p>
    <w:p w14:paraId="1E5F8F20" w14:textId="77777777" w:rsidR="00715B06" w:rsidRDefault="00715B06">
      <w:pPr>
        <w:pStyle w:val="Standard"/>
        <w:ind w:firstLine="708"/>
        <w:jc w:val="both"/>
        <w:rPr>
          <w:rFonts w:ascii="Bookman Old Style" w:hAnsi="Bookman Old Style" w:cs="Century Gothic"/>
          <w:sz w:val="14"/>
          <w:szCs w:val="14"/>
        </w:rPr>
      </w:pPr>
    </w:p>
    <w:p w14:paraId="1F72F189" w14:textId="77777777" w:rsidR="00715B06" w:rsidRDefault="00715B06">
      <w:pPr>
        <w:pStyle w:val="Standard"/>
        <w:ind w:firstLine="708"/>
        <w:jc w:val="both"/>
        <w:rPr>
          <w:rFonts w:ascii="Bookman Old Style" w:hAnsi="Bookman Old Style" w:cs="Century Gothic"/>
          <w:sz w:val="14"/>
          <w:szCs w:val="14"/>
        </w:rPr>
      </w:pPr>
    </w:p>
    <w:p w14:paraId="43AEECAF" w14:textId="77777777" w:rsidR="00715B06" w:rsidRDefault="00715B06">
      <w:pPr>
        <w:pStyle w:val="Standard"/>
        <w:ind w:firstLine="708"/>
        <w:jc w:val="both"/>
        <w:rPr>
          <w:rFonts w:ascii="Bookman Old Style" w:hAnsi="Bookman Old Style" w:cs="Century Gothic"/>
          <w:sz w:val="14"/>
          <w:szCs w:val="14"/>
        </w:rPr>
      </w:pPr>
    </w:p>
    <w:p w14:paraId="22B3BBAC" w14:textId="77777777" w:rsidR="00715B06" w:rsidRDefault="00715B06">
      <w:pPr>
        <w:pStyle w:val="Standard"/>
        <w:ind w:firstLine="708"/>
        <w:jc w:val="both"/>
        <w:rPr>
          <w:rFonts w:ascii="Bookman Old Style" w:hAnsi="Bookman Old Style" w:cs="Century Gothic"/>
          <w:sz w:val="14"/>
          <w:szCs w:val="14"/>
        </w:rPr>
      </w:pPr>
    </w:p>
    <w:p w14:paraId="25C3FAB8" w14:textId="77777777" w:rsidR="00715B06" w:rsidRDefault="00715B06">
      <w:pPr>
        <w:pStyle w:val="Standard"/>
        <w:ind w:firstLine="708"/>
        <w:jc w:val="both"/>
        <w:rPr>
          <w:rFonts w:ascii="Bookman Old Style" w:hAnsi="Bookman Old Style" w:cs="Century Gothic"/>
          <w:sz w:val="14"/>
          <w:szCs w:val="14"/>
        </w:rPr>
      </w:pPr>
    </w:p>
    <w:p w14:paraId="523914CF" w14:textId="77777777" w:rsidR="00715B06" w:rsidRDefault="00715B06">
      <w:pPr>
        <w:pStyle w:val="Standard"/>
        <w:ind w:firstLine="708"/>
        <w:jc w:val="both"/>
        <w:rPr>
          <w:rFonts w:ascii="Bookman Old Style" w:hAnsi="Bookman Old Style" w:cs="Century Gothic"/>
          <w:sz w:val="14"/>
          <w:szCs w:val="14"/>
        </w:rPr>
      </w:pPr>
    </w:p>
    <w:p w14:paraId="1EB80542" w14:textId="77777777" w:rsidR="00715B06" w:rsidRDefault="00715B06">
      <w:pPr>
        <w:pStyle w:val="Standard"/>
        <w:ind w:firstLine="708"/>
        <w:jc w:val="both"/>
        <w:rPr>
          <w:rFonts w:ascii="Bookman Old Style" w:hAnsi="Bookman Old Style" w:cs="Century Gothic"/>
          <w:sz w:val="14"/>
          <w:szCs w:val="14"/>
        </w:rPr>
      </w:pPr>
    </w:p>
    <w:p w14:paraId="06F7819F" w14:textId="77777777" w:rsidR="00715B06" w:rsidRDefault="00715B06">
      <w:pPr>
        <w:pStyle w:val="Standard"/>
        <w:ind w:firstLine="708"/>
        <w:jc w:val="both"/>
        <w:rPr>
          <w:rFonts w:ascii="Bookman Old Style" w:hAnsi="Bookman Old Style" w:cs="Century Gothic"/>
          <w:sz w:val="14"/>
          <w:szCs w:val="14"/>
        </w:rPr>
      </w:pPr>
    </w:p>
    <w:p w14:paraId="52F0E11C" w14:textId="77777777" w:rsidR="00715B06" w:rsidRDefault="00715B06">
      <w:pPr>
        <w:pStyle w:val="Standard"/>
        <w:ind w:firstLine="708"/>
        <w:jc w:val="both"/>
        <w:rPr>
          <w:rFonts w:ascii="Bookman Old Style" w:hAnsi="Bookman Old Style" w:cs="Century Gothic"/>
          <w:sz w:val="14"/>
          <w:szCs w:val="14"/>
        </w:rPr>
      </w:pPr>
    </w:p>
    <w:p w14:paraId="4E21744B" w14:textId="77777777" w:rsidR="00715B06" w:rsidRDefault="00715B06">
      <w:pPr>
        <w:pStyle w:val="Standard"/>
        <w:ind w:firstLine="708"/>
        <w:jc w:val="both"/>
        <w:rPr>
          <w:rFonts w:ascii="Bookman Old Style" w:hAnsi="Bookman Old Style" w:cs="Century Gothic"/>
          <w:sz w:val="14"/>
          <w:szCs w:val="14"/>
        </w:rPr>
      </w:pPr>
    </w:p>
    <w:p w14:paraId="1E088252" w14:textId="77777777" w:rsidR="00715B06" w:rsidRDefault="00715B06">
      <w:pPr>
        <w:pStyle w:val="Standard"/>
        <w:ind w:firstLine="708"/>
        <w:jc w:val="both"/>
        <w:rPr>
          <w:rFonts w:ascii="Bookman Old Style" w:hAnsi="Bookman Old Style" w:cs="Century Gothic"/>
          <w:sz w:val="14"/>
          <w:szCs w:val="14"/>
        </w:rPr>
      </w:pPr>
    </w:p>
    <w:p w14:paraId="05AB62FF" w14:textId="6716DCB8" w:rsidR="00715B06" w:rsidRDefault="00715B06">
      <w:pPr>
        <w:pStyle w:val="Standard"/>
        <w:ind w:firstLine="708"/>
        <w:jc w:val="both"/>
        <w:rPr>
          <w:rFonts w:ascii="Bookman Old Style" w:hAnsi="Bookman Old Style" w:cs="Century Gothic"/>
          <w:sz w:val="14"/>
          <w:szCs w:val="14"/>
        </w:rPr>
      </w:pPr>
    </w:p>
    <w:p w14:paraId="731E6AD0" w14:textId="111C32C0" w:rsidR="00844C7C" w:rsidRDefault="00844C7C">
      <w:pPr>
        <w:pStyle w:val="Standard"/>
        <w:ind w:firstLine="708"/>
        <w:jc w:val="both"/>
        <w:rPr>
          <w:rFonts w:ascii="Bookman Old Style" w:hAnsi="Bookman Old Style" w:cs="Century Gothic"/>
          <w:sz w:val="14"/>
          <w:szCs w:val="14"/>
        </w:rPr>
      </w:pPr>
    </w:p>
    <w:p w14:paraId="01D39B70" w14:textId="38F5EBD4" w:rsidR="00844C7C" w:rsidRDefault="00844C7C">
      <w:pPr>
        <w:pStyle w:val="Standard"/>
        <w:ind w:firstLine="708"/>
        <w:jc w:val="both"/>
        <w:rPr>
          <w:rFonts w:ascii="Bookman Old Style" w:hAnsi="Bookman Old Style" w:cs="Century Gothic"/>
          <w:sz w:val="14"/>
          <w:szCs w:val="14"/>
        </w:rPr>
      </w:pPr>
    </w:p>
    <w:p w14:paraId="4D64E8B9" w14:textId="77777777" w:rsidR="00844C7C" w:rsidRDefault="00844C7C">
      <w:pPr>
        <w:pStyle w:val="Standard"/>
        <w:ind w:firstLine="708"/>
        <w:jc w:val="both"/>
        <w:rPr>
          <w:rFonts w:ascii="Bookman Old Style" w:hAnsi="Bookman Old Style" w:cs="Century Gothic"/>
          <w:sz w:val="14"/>
          <w:szCs w:val="14"/>
        </w:rPr>
      </w:pPr>
    </w:p>
    <w:p w14:paraId="24A3594B" w14:textId="487F0A23" w:rsidR="00715B06" w:rsidRDefault="00715B06">
      <w:pPr>
        <w:pStyle w:val="Standard"/>
        <w:ind w:firstLine="708"/>
        <w:jc w:val="both"/>
        <w:rPr>
          <w:rFonts w:ascii="Bookman Old Style" w:hAnsi="Bookman Old Style" w:cs="Century Gothic"/>
          <w:sz w:val="14"/>
          <w:szCs w:val="14"/>
        </w:rPr>
      </w:pPr>
    </w:p>
    <w:p w14:paraId="4CB4B2E9" w14:textId="1B724A03" w:rsidR="001573C2" w:rsidRDefault="001573C2">
      <w:pPr>
        <w:pStyle w:val="Standard"/>
        <w:ind w:firstLine="708"/>
        <w:jc w:val="both"/>
        <w:rPr>
          <w:rFonts w:ascii="Bookman Old Style" w:hAnsi="Bookman Old Style" w:cs="Century Gothic"/>
          <w:sz w:val="14"/>
          <w:szCs w:val="14"/>
        </w:rPr>
      </w:pPr>
    </w:p>
    <w:p w14:paraId="735A2FBD" w14:textId="7A55D33C" w:rsidR="001573C2" w:rsidRDefault="001573C2">
      <w:pPr>
        <w:pStyle w:val="Standard"/>
        <w:ind w:firstLine="708"/>
        <w:jc w:val="both"/>
        <w:rPr>
          <w:rFonts w:ascii="Bookman Old Style" w:hAnsi="Bookman Old Style" w:cs="Century Gothic"/>
          <w:sz w:val="14"/>
          <w:szCs w:val="14"/>
        </w:rPr>
      </w:pPr>
      <w:bookmarkStart w:id="0" w:name="_GoBack"/>
      <w:bookmarkEnd w:id="0"/>
    </w:p>
    <w:p w14:paraId="4995AC31" w14:textId="350BA465" w:rsidR="001573C2" w:rsidRDefault="001573C2">
      <w:pPr>
        <w:pStyle w:val="Standard"/>
        <w:ind w:firstLine="708"/>
        <w:jc w:val="both"/>
        <w:rPr>
          <w:rFonts w:ascii="Bookman Old Style" w:hAnsi="Bookman Old Style" w:cs="Century Gothic"/>
          <w:sz w:val="14"/>
          <w:szCs w:val="14"/>
        </w:rPr>
      </w:pPr>
    </w:p>
    <w:p w14:paraId="1AAE76FC" w14:textId="175483D1" w:rsidR="001573C2" w:rsidRDefault="001573C2">
      <w:pPr>
        <w:pStyle w:val="Standard"/>
        <w:ind w:firstLine="708"/>
        <w:jc w:val="both"/>
        <w:rPr>
          <w:rFonts w:ascii="Bookman Old Style" w:hAnsi="Bookman Old Style" w:cs="Century Gothic"/>
          <w:sz w:val="14"/>
          <w:szCs w:val="14"/>
        </w:rPr>
      </w:pPr>
    </w:p>
    <w:p w14:paraId="2051B0DC" w14:textId="3E6191C0" w:rsidR="001573C2" w:rsidRDefault="001573C2">
      <w:pPr>
        <w:pStyle w:val="Standard"/>
        <w:ind w:firstLine="708"/>
        <w:jc w:val="both"/>
        <w:rPr>
          <w:rFonts w:ascii="Bookman Old Style" w:hAnsi="Bookman Old Style" w:cs="Century Gothic"/>
          <w:sz w:val="14"/>
          <w:szCs w:val="14"/>
        </w:rPr>
      </w:pPr>
    </w:p>
    <w:p w14:paraId="4021489E" w14:textId="18E4E6C2" w:rsidR="001573C2" w:rsidRDefault="001573C2">
      <w:pPr>
        <w:pStyle w:val="Standard"/>
        <w:ind w:firstLine="708"/>
        <w:jc w:val="both"/>
        <w:rPr>
          <w:rFonts w:ascii="Bookman Old Style" w:hAnsi="Bookman Old Style" w:cs="Century Gothic"/>
          <w:sz w:val="14"/>
          <w:szCs w:val="14"/>
        </w:rPr>
      </w:pPr>
    </w:p>
    <w:p w14:paraId="20756ACF" w14:textId="77777777" w:rsidR="001573C2" w:rsidRDefault="001573C2">
      <w:pPr>
        <w:pStyle w:val="Standard"/>
        <w:ind w:firstLine="708"/>
        <w:jc w:val="both"/>
        <w:rPr>
          <w:rFonts w:ascii="Bookman Old Style" w:hAnsi="Bookman Old Style" w:cs="Century Gothic"/>
          <w:sz w:val="14"/>
          <w:szCs w:val="14"/>
        </w:rPr>
      </w:pPr>
    </w:p>
    <w:p w14:paraId="49A65FDF" w14:textId="77777777" w:rsidR="00715B06" w:rsidRDefault="00715B06">
      <w:pPr>
        <w:pStyle w:val="Standard"/>
        <w:ind w:firstLine="708"/>
        <w:jc w:val="both"/>
        <w:rPr>
          <w:rFonts w:ascii="Bookman Old Style" w:hAnsi="Bookman Old Style" w:cs="Century Gothic"/>
          <w:sz w:val="14"/>
          <w:szCs w:val="14"/>
        </w:rPr>
      </w:pPr>
    </w:p>
    <w:p w14:paraId="62AC7E4C" w14:textId="77777777" w:rsidR="00715B06" w:rsidRDefault="00715B06">
      <w:pPr>
        <w:pStyle w:val="Standard"/>
        <w:ind w:firstLine="708"/>
        <w:jc w:val="both"/>
        <w:rPr>
          <w:rFonts w:ascii="Bookman Old Style" w:hAnsi="Bookman Old Style" w:cs="Century Gothic"/>
          <w:sz w:val="14"/>
          <w:szCs w:val="14"/>
        </w:rPr>
      </w:pPr>
    </w:p>
    <w:p w14:paraId="60A8A1DC" w14:textId="77777777" w:rsidR="00715B06" w:rsidRDefault="00715B06">
      <w:pPr>
        <w:pStyle w:val="Standard"/>
        <w:ind w:firstLine="708"/>
        <w:jc w:val="both"/>
        <w:rPr>
          <w:rFonts w:ascii="Bookman Old Style" w:hAnsi="Bookman Old Style" w:cs="Century Gothic"/>
          <w:sz w:val="14"/>
          <w:szCs w:val="14"/>
        </w:rPr>
      </w:pPr>
    </w:p>
    <w:p w14:paraId="4EEC68E7" w14:textId="77777777" w:rsidR="00715B06" w:rsidRDefault="00715B06">
      <w:pPr>
        <w:pStyle w:val="Standard"/>
        <w:ind w:firstLine="708"/>
        <w:jc w:val="both"/>
        <w:rPr>
          <w:rFonts w:ascii="Bookman Old Style" w:hAnsi="Bookman Old Style" w:cs="Century Gothic"/>
          <w:sz w:val="14"/>
          <w:szCs w:val="14"/>
        </w:rPr>
      </w:pPr>
    </w:p>
    <w:p w14:paraId="1E4CD49A" w14:textId="77777777" w:rsidR="00715B06" w:rsidRDefault="00715B06">
      <w:pPr>
        <w:pStyle w:val="Standard"/>
        <w:ind w:firstLine="708"/>
        <w:jc w:val="both"/>
        <w:rPr>
          <w:rFonts w:ascii="Bookman Old Style" w:hAnsi="Bookman Old Style" w:cs="Century Gothic"/>
          <w:sz w:val="14"/>
          <w:szCs w:val="14"/>
        </w:rPr>
      </w:pPr>
    </w:p>
    <w:p w14:paraId="17A50320" w14:textId="0484D192" w:rsidR="00A1075A" w:rsidRPr="00715B06" w:rsidRDefault="00F4412E">
      <w:pPr>
        <w:pStyle w:val="Standard"/>
        <w:ind w:firstLine="708"/>
        <w:jc w:val="both"/>
        <w:rPr>
          <w:sz w:val="22"/>
          <w:szCs w:val="22"/>
        </w:rPr>
      </w:pPr>
      <w:r w:rsidRPr="00715B06">
        <w:rPr>
          <w:rFonts w:ascii="Bookman Old Style" w:hAnsi="Bookman Old Style" w:cs="Century Gothic"/>
          <w:sz w:val="14"/>
          <w:szCs w:val="14"/>
        </w:rPr>
        <w:t>Bu politikadaki hiçbir içerik hukuki tavsiye değildir ve hukuki tavsiye olarak kabul edilemez. Söz konusu metinler hazırlanırken o tarihteki yasal mevzuat esas alınmış olup; ileriki tarihte gerçekleşen mevzuat değişiklikleri çerçevesinde farklılıklar meydana gelebilir. Belirlenen süreler örnek olması amacıyla politikada yer almaktadır.</w:t>
      </w:r>
    </w:p>
    <w:sectPr w:rsidR="00A1075A" w:rsidRPr="00715B06">
      <w:headerReference w:type="default" r:id="rId7"/>
      <w:footerReference w:type="default" r:id="rId8"/>
      <w:pgSz w:w="11906" w:h="16838"/>
      <w:pgMar w:top="1417" w:right="1417" w:bottom="1417" w:left="1417" w:header="708" w:footer="70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8B977" w14:textId="77777777" w:rsidR="00873382" w:rsidRDefault="00873382">
      <w:r>
        <w:separator/>
      </w:r>
    </w:p>
  </w:endnote>
  <w:endnote w:type="continuationSeparator" w:id="0">
    <w:p w14:paraId="25F7CE62" w14:textId="77777777" w:rsidR="00873382" w:rsidRDefault="0087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E028" w14:textId="77777777" w:rsidR="009E2A0A" w:rsidRDefault="00F4412E">
    <w:pPr>
      <w:pStyle w:val="AltBilgi"/>
    </w:pPr>
    <w:r>
      <w:rPr>
        <w:noProof/>
        <w:lang w:eastAsia="tr-TR"/>
      </w:rPr>
      <mc:AlternateContent>
        <mc:Choice Requires="wps">
          <w:drawing>
            <wp:anchor distT="0" distB="0" distL="114300" distR="114300" simplePos="0" relativeHeight="251659264" behindDoc="0" locked="0" layoutInCell="1" allowOverlap="1" wp14:anchorId="74E80E8F" wp14:editId="05838C66">
              <wp:simplePos x="0" y="0"/>
              <wp:positionH relativeFrom="margin">
                <wp:align>center</wp:align>
              </wp:positionH>
              <wp:positionV relativeFrom="paragraph">
                <wp:posOffset>722</wp:posOffset>
              </wp:positionV>
              <wp:extent cx="13972" cy="19687"/>
              <wp:effectExtent l="0" t="0" r="24128" b="18413"/>
              <wp:wrapSquare wrapText="bothSides"/>
              <wp:docPr id="2" name="Çerçeve2"/>
              <wp:cNvGraphicFramePr/>
              <a:graphic xmlns:a="http://schemas.openxmlformats.org/drawingml/2006/main">
                <a:graphicData uri="http://schemas.microsoft.com/office/word/2010/wordprocessingShape">
                  <wps:wsp>
                    <wps:cNvSpPr txBox="1"/>
                    <wps:spPr>
                      <a:xfrm>
                        <a:off x="0" y="0"/>
                        <a:ext cx="13972" cy="19687"/>
                      </a:xfrm>
                      <a:prstGeom prst="rect">
                        <a:avLst/>
                      </a:prstGeom>
                      <a:noFill/>
                      <a:ln>
                        <a:noFill/>
                        <a:prstDash/>
                      </a:ln>
                    </wps:spPr>
                    <wps:txbx>
                      <w:txbxContent>
                        <w:p w14:paraId="22ADCFB1" w14:textId="68496A6E" w:rsidR="009E2A0A" w:rsidRDefault="00F4412E">
                          <w:pPr>
                            <w:pStyle w:val="AltBilgi"/>
                          </w:pPr>
                          <w:r>
                            <w:rPr>
                              <w:rStyle w:val="SayfaNumaras"/>
                            </w:rPr>
                            <w:fldChar w:fldCharType="begin"/>
                          </w:r>
                          <w:r>
                            <w:rPr>
                              <w:rStyle w:val="SayfaNumaras"/>
                            </w:rPr>
                            <w:instrText xml:space="preserve"> PAGE </w:instrText>
                          </w:r>
                          <w:r>
                            <w:rPr>
                              <w:rStyle w:val="SayfaNumaras"/>
                            </w:rPr>
                            <w:fldChar w:fldCharType="separate"/>
                          </w:r>
                          <w:r w:rsidR="00844C7C">
                            <w:rPr>
                              <w:rStyle w:val="SayfaNumaras"/>
                              <w:noProof/>
                            </w:rPr>
                            <w:t>3</w:t>
                          </w:r>
                          <w:r>
                            <w:rPr>
                              <w:rStyle w:val="SayfaNumaras"/>
                            </w:rPr>
                            <w:fldChar w:fldCharType="end"/>
                          </w:r>
                        </w:p>
                      </w:txbxContent>
                    </wps:txbx>
                    <wps:bodyPr vert="horz" wrap="none" lIns="0" tIns="0" rIns="0" bIns="0" anchor="t" anchorCtr="0" compatLnSpc="0">
                      <a:spAutoFit/>
                    </wps:bodyPr>
                  </wps:wsp>
                </a:graphicData>
              </a:graphic>
            </wp:anchor>
          </w:drawing>
        </mc:Choice>
        <mc:Fallback>
          <w:pict>
            <v:shapetype w14:anchorId="74E80E8F" id="_x0000_t202" coordsize="21600,21600" o:spt="202" path="m,l,21600r21600,l21600,xe">
              <v:stroke joinstyle="miter"/>
              <v:path gradientshapeok="t" o:connecttype="rect"/>
            </v:shapetype>
            <v:shape id="Çerçeve2" o:spid="_x0000_s1026"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" filled="f" stroked="f">
              <v:textbox style="mso-fit-shape-to-text:t" inset="0,0,0,0">
                <w:txbxContent>
                  <w:p w14:paraId="22ADCFB1" w14:textId="68496A6E" w:rsidR="009E2A0A" w:rsidRDefault="00F4412E">
                    <w:pPr>
                      <w:pStyle w:val="AltBilgi"/>
                    </w:pPr>
                    <w:r>
                      <w:rPr>
                        <w:rStyle w:val="SayfaNumaras"/>
                      </w:rPr>
                      <w:fldChar w:fldCharType="begin"/>
                    </w:r>
                    <w:r>
                      <w:rPr>
                        <w:rStyle w:val="SayfaNumaras"/>
                      </w:rPr>
                      <w:instrText xml:space="preserve"> PAGE </w:instrText>
                    </w:r>
                    <w:r>
                      <w:rPr>
                        <w:rStyle w:val="SayfaNumaras"/>
                      </w:rPr>
                      <w:fldChar w:fldCharType="separate"/>
                    </w:r>
                    <w:r w:rsidR="00844C7C">
                      <w:rPr>
                        <w:rStyle w:val="SayfaNumaras"/>
                        <w:noProof/>
                      </w:rPr>
                      <w:t>3</w:t>
                    </w:r>
                    <w:r>
                      <w:rPr>
                        <w:rStyle w:val="SayfaNumaras"/>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A467" w14:textId="77777777" w:rsidR="00873382" w:rsidRDefault="00873382">
      <w:r>
        <w:rPr>
          <w:color w:val="000000"/>
        </w:rPr>
        <w:separator/>
      </w:r>
    </w:p>
  </w:footnote>
  <w:footnote w:type="continuationSeparator" w:id="0">
    <w:p w14:paraId="416EED0F" w14:textId="77777777" w:rsidR="00873382" w:rsidRDefault="0087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843C" w14:textId="09F1C8EA" w:rsidR="009E2A0A" w:rsidRDefault="00844C7C">
    <w:pPr>
      <w:pStyle w:val="stBilgi"/>
    </w:pPr>
  </w:p>
  <w:p w14:paraId="3820FB85" w14:textId="77777777" w:rsidR="009E2A0A" w:rsidRDefault="00844C7C">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16421"/>
    <w:multiLevelType w:val="multilevel"/>
    <w:tmpl w:val="3F588690"/>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70C74FB9"/>
    <w:multiLevelType w:val="multilevel"/>
    <w:tmpl w:val="7A022DB8"/>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5A"/>
    <w:rsid w:val="001214AA"/>
    <w:rsid w:val="001573C2"/>
    <w:rsid w:val="001924D6"/>
    <w:rsid w:val="00195CF7"/>
    <w:rsid w:val="001A059A"/>
    <w:rsid w:val="00217AC4"/>
    <w:rsid w:val="002523CD"/>
    <w:rsid w:val="002F12FF"/>
    <w:rsid w:val="002F414D"/>
    <w:rsid w:val="00370958"/>
    <w:rsid w:val="003922D4"/>
    <w:rsid w:val="00392C87"/>
    <w:rsid w:val="0047305C"/>
    <w:rsid w:val="0048477C"/>
    <w:rsid w:val="0049393B"/>
    <w:rsid w:val="00501567"/>
    <w:rsid w:val="005065CE"/>
    <w:rsid w:val="005F55F9"/>
    <w:rsid w:val="00715B06"/>
    <w:rsid w:val="00733CBD"/>
    <w:rsid w:val="007B4337"/>
    <w:rsid w:val="00844C7C"/>
    <w:rsid w:val="00867AEA"/>
    <w:rsid w:val="00872469"/>
    <w:rsid w:val="00873382"/>
    <w:rsid w:val="00883C4A"/>
    <w:rsid w:val="009A39D8"/>
    <w:rsid w:val="009F4DF7"/>
    <w:rsid w:val="00A1075A"/>
    <w:rsid w:val="00AC0F5E"/>
    <w:rsid w:val="00B94392"/>
    <w:rsid w:val="00BB0C8D"/>
    <w:rsid w:val="00C125D3"/>
    <w:rsid w:val="00C126E4"/>
    <w:rsid w:val="00D05764"/>
    <w:rsid w:val="00D12A69"/>
    <w:rsid w:val="00D26877"/>
    <w:rsid w:val="00D474EB"/>
    <w:rsid w:val="00EC51FE"/>
    <w:rsid w:val="00F4412E"/>
    <w:rsid w:val="00FC7A87"/>
    <w:rsid w:val="00FD6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D93A6"/>
  <w15:docId w15:val="{439026DA-CE56-43BE-A8B6-F655A75D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tr-T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KonuBal">
    <w:name w:val="Title"/>
    <w:basedOn w:val="Standard"/>
    <w:uiPriority w:val="10"/>
    <w:qFormat/>
    <w:pPr>
      <w:suppressLineNumbers/>
      <w:spacing w:before="120" w:after="120"/>
    </w:pPr>
    <w:rPr>
      <w:rFonts w:cs="Arial"/>
      <w:i/>
      <w:iCs/>
    </w:rPr>
  </w:style>
  <w:style w:type="paragraph" w:styleId="Altyaz">
    <w:name w:val="Subtitle"/>
    <w:basedOn w:val="Heading"/>
    <w:next w:val="Textbody"/>
    <w:uiPriority w:val="11"/>
    <w:qFormat/>
    <w:pPr>
      <w:jc w:val="center"/>
    </w:pPr>
    <w:rPr>
      <w:i/>
      <w:iCs/>
    </w:rPr>
  </w:style>
  <w:style w:type="paragraph" w:customStyle="1" w:styleId="Index">
    <w:name w:val="Index"/>
    <w:basedOn w:val="Standard"/>
    <w:pPr>
      <w:suppressLineNumbers/>
    </w:pPr>
    <w:rPr>
      <w:rFonts w:cs="Arial"/>
    </w:rPr>
  </w:style>
  <w:style w:type="paragraph" w:styleId="stBilgi">
    <w:name w:val="header"/>
    <w:basedOn w:val="Standard"/>
    <w:pPr>
      <w:tabs>
        <w:tab w:val="center" w:pos="4536"/>
        <w:tab w:val="right" w:pos="9072"/>
      </w:tabs>
    </w:pPr>
  </w:style>
  <w:style w:type="paragraph" w:styleId="AltBilgi">
    <w:name w:val="footer"/>
    <w:basedOn w:val="Standard"/>
    <w:pPr>
      <w:tabs>
        <w:tab w:val="center" w:pos="4536"/>
        <w:tab w:val="right" w:pos="9072"/>
      </w:tabs>
    </w:pPr>
  </w:style>
  <w:style w:type="paragraph" w:styleId="BalonMetni">
    <w:name w:val="Balloon Text"/>
    <w:basedOn w:val="Standard"/>
    <w:rPr>
      <w:rFonts w:ascii="Segoe UI" w:hAnsi="Segoe UI" w:cs="Segoe UI"/>
      <w:sz w:val="18"/>
      <w:szCs w:val="18"/>
    </w:rPr>
  </w:style>
  <w:style w:type="paragraph" w:customStyle="1" w:styleId="dropdown-option">
    <w:name w:val="dropdown-option"/>
    <w:basedOn w:val="Standard"/>
    <w:pPr>
      <w:spacing w:before="280" w:after="280"/>
    </w:pPr>
  </w:style>
  <w:style w:type="paragraph" w:styleId="AklamaMetni">
    <w:name w:val="annotation text"/>
    <w:basedOn w:val="Standard"/>
    <w:rPr>
      <w:sz w:val="20"/>
      <w:szCs w:val="20"/>
    </w:rPr>
  </w:style>
  <w:style w:type="paragraph" w:styleId="AklamaKonusu">
    <w:name w:val="annotation subject"/>
    <w:basedOn w:val="AklamaMetni"/>
    <w:next w:val="AklamaMetni"/>
    <w:rPr>
      <w:b/>
      <w:b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stBilgiChar">
    <w:name w:val="Üst Bilgi Char"/>
    <w:rPr>
      <w:sz w:val="24"/>
      <w:szCs w:val="24"/>
      <w:lang w:val="tr-TR" w:bidi="ar-SA"/>
    </w:rPr>
  </w:style>
  <w:style w:type="character" w:styleId="SayfaNumaras">
    <w:name w:val="page number"/>
    <w:basedOn w:val="VarsaylanParagrafYazTipi"/>
  </w:style>
  <w:style w:type="character" w:customStyle="1" w:styleId="BalonMetniChar">
    <w:name w:val="Balon Metni Char"/>
    <w:rPr>
      <w:rFonts w:ascii="Segoe UI" w:hAnsi="Segoe UI" w:cs="Segoe UI"/>
      <w:sz w:val="18"/>
      <w:szCs w:val="18"/>
    </w:rPr>
  </w:style>
  <w:style w:type="character" w:styleId="AklamaBavurusu">
    <w:name w:val="annotation reference"/>
    <w:rPr>
      <w:sz w:val="16"/>
      <w:szCs w:val="16"/>
    </w:rPr>
  </w:style>
  <w:style w:type="character" w:customStyle="1" w:styleId="AklamaMetniChar">
    <w:name w:val="Açıklama Metni Char"/>
    <w:basedOn w:val="VarsaylanParagrafYazTipi"/>
  </w:style>
  <w:style w:type="character" w:customStyle="1" w:styleId="AklamaKonusuChar">
    <w:name w:val="Açıklama Konusu Char"/>
    <w:rPr>
      <w:b/>
      <w:bCs/>
    </w:rPr>
  </w:style>
  <w:style w:type="numbering" w:customStyle="1" w:styleId="WW8Num1">
    <w:name w:val="WW8Num1"/>
    <w:basedOn w:val="ListeYok"/>
    <w:pPr>
      <w:numPr>
        <w:numId w:val="1"/>
      </w:numPr>
    </w:pPr>
  </w:style>
  <w:style w:type="numbering" w:customStyle="1" w:styleId="WW8Num2">
    <w:name w:val="WW8Num2"/>
    <w:basedOn w:val="ListeYok"/>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1092</Words>
  <Characters>6229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Girayhan Ocak</dc:creator>
  <cp:lastModifiedBy>Orçun Çilengiroğlu</cp:lastModifiedBy>
  <cp:revision>5</cp:revision>
  <cp:lastPrinted>2019-11-04T17:43:00Z</cp:lastPrinted>
  <dcterms:created xsi:type="dcterms:W3CDTF">2022-01-04T10:08:00Z</dcterms:created>
  <dcterms:modified xsi:type="dcterms:W3CDTF">2022-03-21T07:35:00Z</dcterms:modified>
</cp:coreProperties>
</file>